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BA274A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F1D3E7B" w14:textId="7AA84E0C" w:rsidR="009B4550" w:rsidRDefault="00FB120D" w:rsidP="009B4550">
      <w:pPr>
        <w:pStyle w:val="Zkladnodstavec"/>
        <w:tabs>
          <w:tab w:val="left" w:pos="6804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37F86">
        <w:rPr>
          <w:rFonts w:ascii="Arial" w:hAnsi="Arial" w:cs="Arial"/>
          <w:sz w:val="18"/>
          <w:szCs w:val="18"/>
        </w:rPr>
        <w:tab/>
      </w:r>
    </w:p>
    <w:p w14:paraId="458BF309" w14:textId="0ED991BB" w:rsidR="00C37F86" w:rsidRDefault="00C37F86" w:rsidP="00565982">
      <w:pPr>
        <w:pStyle w:val="Zkladnodstavec"/>
        <w:tabs>
          <w:tab w:val="left" w:pos="6804"/>
        </w:tabs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  <w:sectPr w:rsidR="00C37F86" w:rsidSect="00C37F86">
          <w:headerReference w:type="default" r:id="rId11"/>
          <w:footerReference w:type="default" r:id="rId12"/>
          <w:pgSz w:w="11906" w:h="16838"/>
          <w:pgMar w:top="851" w:right="851" w:bottom="567" w:left="851" w:header="426" w:footer="312" w:gutter="0"/>
          <w:cols w:space="708"/>
          <w:docGrid w:linePitch="360"/>
        </w:sectPr>
      </w:pPr>
    </w:p>
    <w:p w14:paraId="0180CFDB" w14:textId="5B8983A3" w:rsidR="00BA274A" w:rsidRDefault="00BA274A" w:rsidP="00C37F86">
      <w:pPr>
        <w:pStyle w:val="Zkladnodstavec"/>
        <w:tabs>
          <w:tab w:val="left" w:pos="6804"/>
        </w:tabs>
        <w:spacing w:line="276" w:lineRule="auto"/>
        <w:ind w:right="423"/>
        <w:rPr>
          <w:rFonts w:ascii="Arial" w:hAnsi="Arial" w:cs="Arial"/>
          <w:sz w:val="18"/>
          <w:szCs w:val="18"/>
        </w:rPr>
      </w:pPr>
    </w:p>
    <w:p w14:paraId="58BAFC74" w14:textId="34C42C7D" w:rsidR="00C37F86" w:rsidRDefault="0035764A" w:rsidP="009B4550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4EB8628" w14:textId="77777777" w:rsidR="00B956B3" w:rsidRDefault="00B956B3" w:rsidP="009B4550">
      <w:pPr>
        <w:pStyle w:val="Zkladnodstavec"/>
        <w:tabs>
          <w:tab w:val="left" w:pos="6804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8D7409B" w14:textId="49EE039F" w:rsidR="00B765CF" w:rsidRPr="00644CA7" w:rsidRDefault="00B765CF" w:rsidP="00B765CF">
      <w:pPr>
        <w:pStyle w:val="Zkladnodstavec"/>
        <w:tabs>
          <w:tab w:val="left" w:pos="6804"/>
        </w:tabs>
        <w:spacing w:line="276" w:lineRule="auto"/>
        <w:jc w:val="center"/>
        <w:rPr>
          <w:rFonts w:ascii="Arial" w:hAnsi="Arial" w:cs="Arial"/>
          <w:b/>
          <w:bCs/>
          <w:color w:val="2764AE"/>
        </w:rPr>
      </w:pPr>
      <w:r w:rsidRPr="00644CA7">
        <w:rPr>
          <w:rFonts w:ascii="Arial" w:hAnsi="Arial" w:cs="Arial"/>
          <w:b/>
          <w:bCs/>
          <w:color w:val="2764AE"/>
        </w:rPr>
        <w:t xml:space="preserve">Národní rozpočtová rada: Propast mezi příjmy a výdaji rozpočtů se zvětšuje. Obrat směrem k udržitelnosti </w:t>
      </w:r>
      <w:r w:rsidR="00390C2D">
        <w:rPr>
          <w:rFonts w:ascii="Arial" w:hAnsi="Arial" w:cs="Arial"/>
          <w:b/>
          <w:bCs/>
          <w:color w:val="2764AE"/>
        </w:rPr>
        <w:t>není na obzoru</w:t>
      </w:r>
    </w:p>
    <w:p w14:paraId="14D64730" w14:textId="77777777" w:rsidR="00B765CF" w:rsidRPr="00644CA7" w:rsidRDefault="00B765CF" w:rsidP="00B765CF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75BDD9" w14:textId="460DB347" w:rsidR="00B765CF" w:rsidRPr="00644CA7" w:rsidRDefault="00B765CF" w:rsidP="000F06CB">
      <w:pPr>
        <w:pStyle w:val="ZKLADNSTYL"/>
        <w:spacing w:line="276" w:lineRule="auto"/>
        <w:rPr>
          <w:b/>
          <w:bCs/>
          <w:i/>
          <w:iCs/>
          <w:szCs w:val="20"/>
        </w:rPr>
      </w:pPr>
      <w:r w:rsidRPr="00644CA7">
        <w:rPr>
          <w:rFonts w:cs="Arial"/>
          <w:b/>
          <w:bCs/>
          <w:color w:val="auto"/>
          <w:szCs w:val="20"/>
        </w:rPr>
        <w:t xml:space="preserve">15. září 2022, Praha – </w:t>
      </w:r>
      <w:r w:rsidRPr="00644CA7">
        <w:rPr>
          <w:b/>
          <w:bCs/>
          <w:szCs w:val="20"/>
        </w:rPr>
        <w:t>České veřejné finance se nacházejí ve významné nerovnováze, která vznik</w:t>
      </w:r>
      <w:r w:rsidR="006C5063">
        <w:rPr>
          <w:b/>
          <w:bCs/>
          <w:szCs w:val="20"/>
        </w:rPr>
        <w:t>la</w:t>
      </w:r>
      <w:r w:rsidRPr="00644CA7">
        <w:rPr>
          <w:b/>
          <w:bCs/>
          <w:szCs w:val="20"/>
        </w:rPr>
        <w:t xml:space="preserve"> kombinací fiskálně nerozvážných kroků učiněných</w:t>
      </w:r>
      <w:r w:rsidR="00257E1F" w:rsidRPr="00644CA7">
        <w:rPr>
          <w:b/>
          <w:bCs/>
          <w:szCs w:val="20"/>
        </w:rPr>
        <w:t xml:space="preserve"> zejména</w:t>
      </w:r>
      <w:r w:rsidRPr="00644CA7">
        <w:rPr>
          <w:b/>
          <w:bCs/>
          <w:szCs w:val="20"/>
        </w:rPr>
        <w:t xml:space="preserve"> v posledních dvou letech a dlouhodobého neřešení budoucích dopadů demografického vývoje. Ve srovnání s loňským rokem došlo v projekcích vývoje zadlužení jen k drobným zlepšením, klíčové závěry Národní rozpočtové rady (NRR) se </w:t>
      </w:r>
      <w:r w:rsidR="00390C2D">
        <w:rPr>
          <w:b/>
          <w:bCs/>
          <w:szCs w:val="20"/>
        </w:rPr>
        <w:t>tak</w:t>
      </w:r>
      <w:r w:rsidR="00390C2D" w:rsidRPr="00644CA7">
        <w:rPr>
          <w:b/>
          <w:bCs/>
          <w:szCs w:val="20"/>
        </w:rPr>
        <w:t xml:space="preserve"> </w:t>
      </w:r>
      <w:r w:rsidRPr="00644CA7">
        <w:rPr>
          <w:b/>
          <w:bCs/>
          <w:szCs w:val="20"/>
        </w:rPr>
        <w:t>nemění – pokud nedojde k </w:t>
      </w:r>
      <w:r w:rsidR="00CA304F" w:rsidRPr="00644CA7">
        <w:rPr>
          <w:b/>
          <w:bCs/>
          <w:szCs w:val="20"/>
        </w:rPr>
        <w:t xml:space="preserve">významné změně </w:t>
      </w:r>
      <w:r w:rsidRPr="00644CA7">
        <w:rPr>
          <w:b/>
          <w:bCs/>
          <w:szCs w:val="20"/>
        </w:rPr>
        <w:t>daňových a</w:t>
      </w:r>
      <w:r w:rsidR="00E0211E">
        <w:rPr>
          <w:b/>
          <w:bCs/>
          <w:szCs w:val="20"/>
        </w:rPr>
        <w:t> </w:t>
      </w:r>
      <w:r w:rsidRPr="00644CA7">
        <w:rPr>
          <w:b/>
          <w:bCs/>
          <w:szCs w:val="20"/>
        </w:rPr>
        <w:t xml:space="preserve">výdajových politik, lze očekávat náraz </w:t>
      </w:r>
      <w:r w:rsidR="006C5063">
        <w:rPr>
          <w:b/>
          <w:bCs/>
          <w:szCs w:val="20"/>
        </w:rPr>
        <w:t>na</w:t>
      </w:r>
      <w:r w:rsidRPr="00644CA7">
        <w:rPr>
          <w:b/>
          <w:bCs/>
          <w:szCs w:val="20"/>
        </w:rPr>
        <w:t xml:space="preserve"> dluhov</w:t>
      </w:r>
      <w:r w:rsidR="006C5063">
        <w:rPr>
          <w:b/>
          <w:bCs/>
          <w:szCs w:val="20"/>
        </w:rPr>
        <w:t>ou</w:t>
      </w:r>
      <w:r w:rsidRPr="00644CA7">
        <w:rPr>
          <w:b/>
          <w:bCs/>
          <w:szCs w:val="20"/>
        </w:rPr>
        <w:t xml:space="preserve"> brzd</w:t>
      </w:r>
      <w:r w:rsidR="006C5063">
        <w:rPr>
          <w:b/>
          <w:bCs/>
          <w:szCs w:val="20"/>
        </w:rPr>
        <w:t>u</w:t>
      </w:r>
      <w:r w:rsidRPr="00644CA7">
        <w:rPr>
          <w:b/>
          <w:bCs/>
          <w:szCs w:val="20"/>
        </w:rPr>
        <w:t xml:space="preserve"> v řádu jednotek let; </w:t>
      </w:r>
      <w:r w:rsidR="008A4547">
        <w:rPr>
          <w:b/>
          <w:bCs/>
          <w:szCs w:val="20"/>
        </w:rPr>
        <w:t>o</w:t>
      </w:r>
      <w:r w:rsidRPr="00644CA7">
        <w:rPr>
          <w:b/>
          <w:bCs/>
          <w:szCs w:val="20"/>
        </w:rPr>
        <w:t xml:space="preserve">d 30. let pak bude vlivem stárnutí populace nárůst </w:t>
      </w:r>
      <w:r w:rsidR="001F259D" w:rsidRPr="00644CA7">
        <w:rPr>
          <w:b/>
          <w:bCs/>
          <w:szCs w:val="20"/>
        </w:rPr>
        <w:t xml:space="preserve">veřejného </w:t>
      </w:r>
      <w:r w:rsidRPr="00644CA7">
        <w:rPr>
          <w:b/>
          <w:bCs/>
          <w:szCs w:val="20"/>
        </w:rPr>
        <w:t xml:space="preserve">dluhu tak razantní, že jej vzhledem k výši dluhové služby </w:t>
      </w:r>
      <w:r w:rsidR="00345F7A">
        <w:rPr>
          <w:b/>
          <w:bCs/>
          <w:szCs w:val="20"/>
        </w:rPr>
        <w:t>bude obtížné</w:t>
      </w:r>
      <w:r w:rsidRPr="00644CA7">
        <w:rPr>
          <w:b/>
          <w:bCs/>
          <w:szCs w:val="20"/>
        </w:rPr>
        <w:t xml:space="preserve"> financovat. Vyplývá to ze Zprávy o dlouhodobé udržitelnosti</w:t>
      </w:r>
      <w:r w:rsidR="006C5063">
        <w:rPr>
          <w:b/>
          <w:bCs/>
          <w:szCs w:val="20"/>
        </w:rPr>
        <w:t xml:space="preserve"> veřejných financí</w:t>
      </w:r>
      <w:r w:rsidRPr="00644CA7">
        <w:rPr>
          <w:b/>
          <w:bCs/>
          <w:szCs w:val="20"/>
        </w:rPr>
        <w:t xml:space="preserve">, kterou dnes vydala Národní rozpočtová rada. </w:t>
      </w:r>
    </w:p>
    <w:p w14:paraId="6F011D9F" w14:textId="64BA563C" w:rsidR="00B765CF" w:rsidRPr="008A4547" w:rsidRDefault="00B765CF" w:rsidP="000F06CB">
      <w:pPr>
        <w:pStyle w:val="ZKLADNSTYL"/>
        <w:spacing w:line="276" w:lineRule="auto"/>
        <w:rPr>
          <w:i/>
          <w:iCs/>
          <w:szCs w:val="20"/>
        </w:rPr>
      </w:pPr>
      <w:r w:rsidRPr="00644CA7">
        <w:rPr>
          <w:szCs w:val="20"/>
        </w:rPr>
        <w:t xml:space="preserve">Dle NRR </w:t>
      </w:r>
      <w:r w:rsidR="0054342D" w:rsidRPr="00644CA7">
        <w:rPr>
          <w:szCs w:val="20"/>
        </w:rPr>
        <w:t>došlo v posledních letech ke snížení</w:t>
      </w:r>
      <w:r w:rsidRPr="00644CA7">
        <w:rPr>
          <w:szCs w:val="20"/>
        </w:rPr>
        <w:t xml:space="preserve"> příjm</w:t>
      </w:r>
      <w:r w:rsidR="0054342D" w:rsidRPr="00644CA7">
        <w:rPr>
          <w:szCs w:val="20"/>
        </w:rPr>
        <w:t>ů</w:t>
      </w:r>
      <w:r w:rsidRPr="00644CA7">
        <w:rPr>
          <w:szCs w:val="20"/>
        </w:rPr>
        <w:t xml:space="preserve"> veřejných rozpočtů, zatímco výdaje naopak narůstají. Strukturální deficit, který je klíčovým ukazatelem pro vyhodnocení situace českých veřejných financí ze střednědobého pohledu, </w:t>
      </w:r>
      <w:r w:rsidR="00CA16AC" w:rsidRPr="00644CA7">
        <w:rPr>
          <w:szCs w:val="20"/>
        </w:rPr>
        <w:t>se aktuálně pohybuje okolo 3 % HDP.</w:t>
      </w:r>
      <w:r w:rsidRPr="00644CA7">
        <w:rPr>
          <w:szCs w:val="20"/>
        </w:rPr>
        <w:t xml:space="preserve"> „</w:t>
      </w:r>
      <w:r w:rsidRPr="00644CA7">
        <w:rPr>
          <w:i/>
          <w:iCs/>
          <w:szCs w:val="20"/>
        </w:rPr>
        <w:t xml:space="preserve">Strukturální deficit, který vzniká bez ohledu na to, zda se ekonomice daří nebo ne, aktuálně činí </w:t>
      </w:r>
      <w:r w:rsidR="00CA16AC" w:rsidRPr="00644CA7">
        <w:rPr>
          <w:i/>
          <w:iCs/>
          <w:szCs w:val="20"/>
        </w:rPr>
        <w:t>zhruba</w:t>
      </w:r>
      <w:r w:rsidRPr="00644CA7">
        <w:rPr>
          <w:i/>
          <w:iCs/>
          <w:szCs w:val="20"/>
        </w:rPr>
        <w:t xml:space="preserve"> 220 miliard korun. Takto hlubokou střednědobou nerovnováhu bohužel nevyřeší pouze ekonomický růst, ale jsou nutné také aktivní kroky vlády vedoucí k úpravě jak příjmové, tak výdajové strany státního rozpočtu,“</w:t>
      </w:r>
      <w:r w:rsidRPr="00644CA7">
        <w:rPr>
          <w:szCs w:val="20"/>
        </w:rPr>
        <w:t xml:space="preserve"> uvádí předseda NRR Mojmír Hampl s tím, že tyto kroky sice nebudou populární, nicméně jsou z pohledu budoucnosti Česka naprosto </w:t>
      </w:r>
      <w:r w:rsidR="00D0754B">
        <w:rPr>
          <w:szCs w:val="20"/>
        </w:rPr>
        <w:t>klíčové.</w:t>
      </w:r>
      <w:r w:rsidR="00D0754B" w:rsidRPr="00644CA7">
        <w:rPr>
          <w:szCs w:val="20"/>
        </w:rPr>
        <w:t xml:space="preserve"> </w:t>
      </w:r>
      <w:r w:rsidRPr="00644CA7">
        <w:rPr>
          <w:i/>
          <w:iCs/>
          <w:szCs w:val="20"/>
        </w:rPr>
        <w:t>„Stát je při své velikosti a</w:t>
      </w:r>
      <w:r w:rsidR="003E5155">
        <w:rPr>
          <w:i/>
          <w:iCs/>
          <w:szCs w:val="20"/>
        </w:rPr>
        <w:t> </w:t>
      </w:r>
      <w:r w:rsidRPr="00644CA7">
        <w:rPr>
          <w:i/>
          <w:iCs/>
          <w:szCs w:val="20"/>
        </w:rPr>
        <w:t xml:space="preserve">rozsahu jím poskytovaných veřejných služeb ze stávajících příjmů </w:t>
      </w:r>
      <w:proofErr w:type="spellStart"/>
      <w:r w:rsidRPr="00644CA7">
        <w:rPr>
          <w:i/>
          <w:iCs/>
          <w:szCs w:val="20"/>
        </w:rPr>
        <w:t>neufinancovatelný</w:t>
      </w:r>
      <w:proofErr w:type="spellEnd"/>
      <w:r w:rsidR="00D0754B">
        <w:rPr>
          <w:i/>
          <w:iCs/>
          <w:szCs w:val="20"/>
        </w:rPr>
        <w:t>,“</w:t>
      </w:r>
      <w:r w:rsidR="003E5155">
        <w:rPr>
          <w:i/>
          <w:iCs/>
          <w:szCs w:val="20"/>
        </w:rPr>
        <w:t xml:space="preserve"> </w:t>
      </w:r>
      <w:r w:rsidRPr="00644CA7">
        <w:rPr>
          <w:szCs w:val="20"/>
        </w:rPr>
        <w:t>dodává Mojmír Hampl.</w:t>
      </w:r>
    </w:p>
    <w:p w14:paraId="18DA5D44" w14:textId="7B9DDF07" w:rsidR="00B765CF" w:rsidRPr="00644CA7" w:rsidRDefault="00B765CF" w:rsidP="000F06CB">
      <w:pPr>
        <w:pStyle w:val="ZKLADNSTYL"/>
        <w:spacing w:line="276" w:lineRule="auto"/>
        <w:rPr>
          <w:b/>
          <w:bCs/>
          <w:szCs w:val="20"/>
        </w:rPr>
      </w:pPr>
      <w:r w:rsidRPr="00644CA7">
        <w:rPr>
          <w:szCs w:val="20"/>
        </w:rPr>
        <w:t xml:space="preserve">Se značnou nerovnováhou veřejné finance do roku 2022 už vstupovaly. </w:t>
      </w:r>
      <w:r w:rsidRPr="00644CA7">
        <w:rPr>
          <w:i/>
          <w:iCs/>
          <w:szCs w:val="20"/>
        </w:rPr>
        <w:t xml:space="preserve">„Střednědobá nerovnováha je dominantně dědictvím snížení daní, konkrétně přijetí tzv. daňového balíčku v roce 2020, který mimo jiné zrušil zdaňování superhrubé mzdy, čímž </w:t>
      </w:r>
      <w:r w:rsidR="00F82CF9" w:rsidRPr="00644CA7">
        <w:rPr>
          <w:i/>
          <w:iCs/>
          <w:szCs w:val="20"/>
        </w:rPr>
        <w:t xml:space="preserve">veřejné </w:t>
      </w:r>
      <w:r w:rsidRPr="00644CA7">
        <w:rPr>
          <w:i/>
          <w:iCs/>
          <w:szCs w:val="20"/>
        </w:rPr>
        <w:t>rozpočt</w:t>
      </w:r>
      <w:r w:rsidR="00F82CF9" w:rsidRPr="00644CA7">
        <w:rPr>
          <w:i/>
          <w:iCs/>
          <w:szCs w:val="20"/>
        </w:rPr>
        <w:t xml:space="preserve">y </w:t>
      </w:r>
      <w:r w:rsidRPr="00644CA7">
        <w:rPr>
          <w:i/>
          <w:iCs/>
          <w:szCs w:val="20"/>
        </w:rPr>
        <w:t xml:space="preserve">na straně příjmů přichází </w:t>
      </w:r>
      <w:r w:rsidR="007E47A2">
        <w:rPr>
          <w:i/>
          <w:iCs/>
          <w:szCs w:val="20"/>
        </w:rPr>
        <w:t xml:space="preserve">aktuálně </w:t>
      </w:r>
      <w:r w:rsidR="00FE4B95" w:rsidRPr="00644CA7">
        <w:rPr>
          <w:i/>
          <w:iCs/>
          <w:szCs w:val="20"/>
        </w:rPr>
        <w:t xml:space="preserve">zhruba </w:t>
      </w:r>
      <w:r w:rsidRPr="00644CA7">
        <w:rPr>
          <w:i/>
          <w:iCs/>
          <w:szCs w:val="20"/>
        </w:rPr>
        <w:t>o</w:t>
      </w:r>
      <w:r w:rsidR="008F7875" w:rsidRPr="00644CA7">
        <w:rPr>
          <w:i/>
          <w:iCs/>
          <w:szCs w:val="20"/>
        </w:rPr>
        <w:t> </w:t>
      </w:r>
      <w:r w:rsidRPr="00644CA7">
        <w:rPr>
          <w:i/>
          <w:iCs/>
          <w:szCs w:val="20"/>
        </w:rPr>
        <w:t>1</w:t>
      </w:r>
      <w:r w:rsidR="00FE4B95" w:rsidRPr="00644CA7">
        <w:rPr>
          <w:i/>
          <w:iCs/>
          <w:szCs w:val="20"/>
        </w:rPr>
        <w:t>2</w:t>
      </w:r>
      <w:r w:rsidRPr="00644CA7">
        <w:rPr>
          <w:i/>
          <w:iCs/>
          <w:szCs w:val="20"/>
        </w:rPr>
        <w:t xml:space="preserve">0 miliard korun ročně. Tento krok </w:t>
      </w:r>
      <w:r w:rsidR="003F0DEA">
        <w:rPr>
          <w:i/>
          <w:iCs/>
          <w:szCs w:val="20"/>
        </w:rPr>
        <w:t>nejen přišel v nesprávnou dobu</w:t>
      </w:r>
      <w:r w:rsidRPr="00644CA7">
        <w:rPr>
          <w:i/>
          <w:iCs/>
          <w:szCs w:val="20"/>
        </w:rPr>
        <w:t xml:space="preserve">, ale </w:t>
      </w:r>
      <w:r w:rsidR="003F0DEA">
        <w:rPr>
          <w:i/>
          <w:iCs/>
          <w:szCs w:val="20"/>
        </w:rPr>
        <w:t>by</w:t>
      </w:r>
      <w:r w:rsidR="001F2EFC">
        <w:rPr>
          <w:i/>
          <w:iCs/>
          <w:szCs w:val="20"/>
        </w:rPr>
        <w:t xml:space="preserve">l </w:t>
      </w:r>
      <w:r w:rsidRPr="00644CA7">
        <w:rPr>
          <w:i/>
          <w:iCs/>
          <w:szCs w:val="20"/>
        </w:rPr>
        <w:t>i makroekonomicky kontraproduktivní</w:t>
      </w:r>
      <w:r w:rsidR="003E5155" w:rsidRPr="003E5155">
        <w:rPr>
          <w:i/>
          <w:iCs/>
          <w:szCs w:val="20"/>
        </w:rPr>
        <w:t xml:space="preserve"> </w:t>
      </w:r>
      <w:r w:rsidR="003E5155" w:rsidRPr="00644CA7">
        <w:rPr>
          <w:i/>
          <w:iCs/>
          <w:szCs w:val="20"/>
        </w:rPr>
        <w:t>a s jeho následky se potýkáme dodnes</w:t>
      </w:r>
      <w:r w:rsidRPr="00644CA7">
        <w:rPr>
          <w:i/>
          <w:iCs/>
          <w:szCs w:val="20"/>
        </w:rPr>
        <w:t>, neboť výrazně přispěl ke zvýšení inflačních tlaků,“</w:t>
      </w:r>
      <w:r w:rsidRPr="00644CA7">
        <w:rPr>
          <w:szCs w:val="20"/>
        </w:rPr>
        <w:t xml:space="preserve"> uvedl</w:t>
      </w:r>
      <w:r w:rsidRPr="00644CA7">
        <w:rPr>
          <w:b/>
          <w:bCs/>
          <w:szCs w:val="20"/>
        </w:rPr>
        <w:t xml:space="preserve"> </w:t>
      </w:r>
      <w:r w:rsidRPr="00644CA7">
        <w:rPr>
          <w:szCs w:val="20"/>
        </w:rPr>
        <w:t>člen NRR Jan Pavel.</w:t>
      </w:r>
      <w:r w:rsidRPr="00644CA7">
        <w:rPr>
          <w:b/>
          <w:bCs/>
          <w:szCs w:val="20"/>
        </w:rPr>
        <w:t xml:space="preserve"> </w:t>
      </w:r>
    </w:p>
    <w:p w14:paraId="0C38C0F7" w14:textId="249DB3D6" w:rsidR="00B765CF" w:rsidRPr="00644CA7" w:rsidRDefault="00B765CF" w:rsidP="000F06CB">
      <w:pPr>
        <w:pStyle w:val="ZKLADNSTYL"/>
        <w:spacing w:line="276" w:lineRule="auto"/>
        <w:rPr>
          <w:b/>
          <w:bCs/>
          <w:szCs w:val="20"/>
        </w:rPr>
      </w:pPr>
      <w:r w:rsidRPr="00644CA7">
        <w:rPr>
          <w:szCs w:val="20"/>
        </w:rPr>
        <w:t>Nerovnováha veřejných financí dosáhla takové</w:t>
      </w:r>
      <w:r w:rsidR="00DD2818">
        <w:rPr>
          <w:szCs w:val="20"/>
        </w:rPr>
        <w:t>ho rozsahu</w:t>
      </w:r>
      <w:r w:rsidRPr="00644CA7">
        <w:rPr>
          <w:szCs w:val="20"/>
        </w:rPr>
        <w:t>, že může být reálně odstraněna pouze zvýšením daňových příjmů ve spojení se změnou zákonů, které ošetřují takzvané mandatorní výdaje</w:t>
      </w:r>
      <w:r w:rsidR="005D6518" w:rsidRPr="00644CA7">
        <w:rPr>
          <w:szCs w:val="20"/>
        </w:rPr>
        <w:t xml:space="preserve"> či definují rozsah činností </w:t>
      </w:r>
      <w:r w:rsidR="00CA16AC" w:rsidRPr="00644CA7">
        <w:rPr>
          <w:szCs w:val="20"/>
        </w:rPr>
        <w:t>státu</w:t>
      </w:r>
      <w:r w:rsidRPr="00644CA7">
        <w:rPr>
          <w:szCs w:val="20"/>
        </w:rPr>
        <w:t xml:space="preserve">. </w:t>
      </w:r>
    </w:p>
    <w:p w14:paraId="47F2A034" w14:textId="034491F9" w:rsidR="006F49BA" w:rsidRDefault="007077B0" w:rsidP="000F06CB">
      <w:pPr>
        <w:pStyle w:val="ZKLADNSTYL"/>
        <w:spacing w:line="276" w:lineRule="auto"/>
        <w:rPr>
          <w:i/>
          <w:iCs/>
          <w:szCs w:val="20"/>
        </w:rPr>
      </w:pPr>
      <w:r>
        <w:rPr>
          <w:szCs w:val="20"/>
        </w:rPr>
        <w:t>O</w:t>
      </w:r>
      <w:r w:rsidR="00B765CF" w:rsidRPr="00644CA7">
        <w:rPr>
          <w:szCs w:val="20"/>
        </w:rPr>
        <w:t>patření vypovídající o snaze dostat české veřejné finance na udržitelnou trajektorii však dosud zveřejněné vládní dokumenty neobsahují a ani nenaznačují</w:t>
      </w:r>
      <w:r w:rsidR="00B765CF" w:rsidRPr="00644CA7">
        <w:rPr>
          <w:i/>
          <w:iCs/>
          <w:szCs w:val="20"/>
        </w:rPr>
        <w:t>.</w:t>
      </w:r>
      <w:r w:rsidR="0017622C" w:rsidRPr="0017622C">
        <w:rPr>
          <w:i/>
          <w:iCs/>
          <w:szCs w:val="20"/>
        </w:rPr>
        <w:t xml:space="preserve"> </w:t>
      </w:r>
      <w:r w:rsidR="00C87253">
        <w:rPr>
          <w:i/>
          <w:iCs/>
          <w:szCs w:val="20"/>
        </w:rPr>
        <w:t>„</w:t>
      </w:r>
      <w:r w:rsidR="0017622C" w:rsidRPr="00644CA7">
        <w:rPr>
          <w:i/>
          <w:iCs/>
          <w:szCs w:val="20"/>
        </w:rPr>
        <w:t xml:space="preserve">Návrh střednědobého výhledu </w:t>
      </w:r>
      <w:r w:rsidR="003D583B">
        <w:rPr>
          <w:i/>
          <w:iCs/>
          <w:szCs w:val="20"/>
        </w:rPr>
        <w:t>m</w:t>
      </w:r>
      <w:r w:rsidR="0017622C" w:rsidRPr="00644CA7">
        <w:rPr>
          <w:i/>
          <w:iCs/>
          <w:szCs w:val="20"/>
        </w:rPr>
        <w:t xml:space="preserve">inisterstva financí počítá pro roky 2024 a 2025 s neměnným strukturálním deficitem na úrovni 2,9 % HDP, z čehož lze odvodit, </w:t>
      </w:r>
      <w:r w:rsidR="0017622C">
        <w:rPr>
          <w:i/>
          <w:iCs/>
          <w:szCs w:val="20"/>
        </w:rPr>
        <w:t>že žádné systémové reformy se nechystají, přitom na ně zůstává v tomto volebním období stále méně času</w:t>
      </w:r>
      <w:r w:rsidR="0017622C" w:rsidRPr="00644CA7">
        <w:rPr>
          <w:i/>
          <w:iCs/>
          <w:szCs w:val="20"/>
        </w:rPr>
        <w:t>,“</w:t>
      </w:r>
      <w:r w:rsidR="0017622C" w:rsidRPr="00644CA7">
        <w:rPr>
          <w:szCs w:val="20"/>
        </w:rPr>
        <w:t xml:space="preserve"> dodává Jan Pavel</w:t>
      </w:r>
      <w:r w:rsidR="006D6705">
        <w:rPr>
          <w:szCs w:val="20"/>
        </w:rPr>
        <w:t xml:space="preserve"> a pokračuje: </w:t>
      </w:r>
      <w:r w:rsidR="00B765CF" w:rsidRPr="00644CA7">
        <w:rPr>
          <w:i/>
          <w:iCs/>
          <w:szCs w:val="20"/>
        </w:rPr>
        <w:t>„Chápeme, že snaha o fiskální konsolidaci je komplikována novou krizí, jejímž primárním hybatelem je útok Ruské federace na Ukrajinu</w:t>
      </w:r>
      <w:r w:rsidR="007672FD">
        <w:rPr>
          <w:i/>
          <w:iCs/>
          <w:szCs w:val="20"/>
        </w:rPr>
        <w:t>.</w:t>
      </w:r>
      <w:r w:rsidR="0013220C">
        <w:rPr>
          <w:i/>
          <w:iCs/>
          <w:szCs w:val="20"/>
        </w:rPr>
        <w:t xml:space="preserve"> Řešení této krize by </w:t>
      </w:r>
      <w:r w:rsidR="002C2F6F">
        <w:rPr>
          <w:i/>
          <w:iCs/>
          <w:szCs w:val="20"/>
        </w:rPr>
        <w:t xml:space="preserve">však </w:t>
      </w:r>
      <w:r w:rsidR="0013220C">
        <w:rPr>
          <w:i/>
          <w:iCs/>
          <w:szCs w:val="20"/>
        </w:rPr>
        <w:t>mělo být spojeno pouze s jednorázovými, časově omezenými výdaji</w:t>
      </w:r>
      <w:r w:rsidR="006052E0">
        <w:rPr>
          <w:i/>
          <w:iCs/>
          <w:szCs w:val="20"/>
        </w:rPr>
        <w:t xml:space="preserve">, které se </w:t>
      </w:r>
      <w:r w:rsidR="00BF59EF">
        <w:rPr>
          <w:i/>
          <w:iCs/>
          <w:szCs w:val="20"/>
        </w:rPr>
        <w:t xml:space="preserve">do strukturálního </w:t>
      </w:r>
      <w:r w:rsidR="00094A96">
        <w:rPr>
          <w:i/>
          <w:iCs/>
          <w:szCs w:val="20"/>
        </w:rPr>
        <w:t>salda, respektive deficitu</w:t>
      </w:r>
      <w:r w:rsidR="000F734E">
        <w:rPr>
          <w:i/>
          <w:iCs/>
          <w:szCs w:val="20"/>
        </w:rPr>
        <w:t xml:space="preserve"> nepropisují</w:t>
      </w:r>
      <w:r w:rsidR="00261C9B">
        <w:rPr>
          <w:i/>
          <w:iCs/>
          <w:szCs w:val="20"/>
        </w:rPr>
        <w:t xml:space="preserve">.“ </w:t>
      </w:r>
    </w:p>
    <w:p w14:paraId="1A1EAF21" w14:textId="1CB8A3B0" w:rsidR="00B765CF" w:rsidRPr="00644CA7" w:rsidRDefault="00B765CF" w:rsidP="000F06CB">
      <w:pPr>
        <w:pStyle w:val="ZKLADNSTYL"/>
        <w:spacing w:line="276" w:lineRule="auto"/>
        <w:rPr>
          <w:b/>
          <w:bCs/>
          <w:szCs w:val="20"/>
        </w:rPr>
      </w:pPr>
      <w:r w:rsidRPr="00644CA7">
        <w:rPr>
          <w:b/>
          <w:bCs/>
          <w:szCs w:val="20"/>
        </w:rPr>
        <w:t>Strukturální deficit jako výsledek rozvolnění fiskálních pravidel</w:t>
      </w:r>
    </w:p>
    <w:p w14:paraId="7BA9CAB7" w14:textId="5719CA46" w:rsidR="00B765CF" w:rsidRPr="00644CA7" w:rsidRDefault="00B765CF" w:rsidP="000F06CB">
      <w:pPr>
        <w:pStyle w:val="ZKLADNSTYL"/>
        <w:spacing w:line="276" w:lineRule="auto"/>
        <w:rPr>
          <w:szCs w:val="20"/>
        </w:rPr>
      </w:pPr>
      <w:r w:rsidRPr="00644CA7">
        <w:rPr>
          <w:szCs w:val="20"/>
        </w:rPr>
        <w:t>V minulých letech se ukázalo, jak zásadní je pro funkčnost a udržitelnost systému veřejných financí dlouhodobá stabilita fiskálních pravidel. Dvojí novelizace</w:t>
      </w:r>
      <w:r w:rsidR="008A4C10">
        <w:rPr>
          <w:szCs w:val="20"/>
        </w:rPr>
        <w:t xml:space="preserve"> zákona </w:t>
      </w:r>
      <w:r w:rsidR="005C7DFC">
        <w:rPr>
          <w:szCs w:val="20"/>
        </w:rPr>
        <w:t>o pravidlech rozpočtové odpovědnosti</w:t>
      </w:r>
      <w:r w:rsidRPr="00644CA7">
        <w:rPr>
          <w:szCs w:val="20"/>
        </w:rPr>
        <w:t xml:space="preserve"> v roce 2020 důvěryhodnost systému značně podryla a nekvalitní legislativní zásahy zejména do konstrukce pravidla strukturálního salda (deficitu) vedly ke značnému znepřehlednění právní úpravy.</w:t>
      </w:r>
    </w:p>
    <w:p w14:paraId="3BD2BF40" w14:textId="10FFC8B6" w:rsidR="00B765CF" w:rsidRPr="00644CA7" w:rsidRDefault="00B765CF" w:rsidP="000F06CB">
      <w:pPr>
        <w:pStyle w:val="ZKLADNSTYL"/>
        <w:spacing w:line="276" w:lineRule="auto"/>
        <w:rPr>
          <w:szCs w:val="20"/>
        </w:rPr>
      </w:pPr>
      <w:r w:rsidRPr="00644CA7">
        <w:rPr>
          <w:i/>
          <w:iCs/>
          <w:szCs w:val="20"/>
        </w:rPr>
        <w:t>„Fiskální pravidla byla přes náš nesouhlas zcela nevhodně rozvolněna ve formě poslaneckého pozměňovacího návrhu, který neprochází přes Legislativní radu vlády</w:t>
      </w:r>
      <w:r w:rsidR="00B86175">
        <w:rPr>
          <w:i/>
          <w:iCs/>
          <w:szCs w:val="20"/>
        </w:rPr>
        <w:t xml:space="preserve">. Ta </w:t>
      </w:r>
      <w:r w:rsidR="00324DB5">
        <w:rPr>
          <w:i/>
          <w:iCs/>
          <w:szCs w:val="20"/>
        </w:rPr>
        <w:t xml:space="preserve">zabezpečuje </w:t>
      </w:r>
      <w:r w:rsidRPr="00644CA7">
        <w:rPr>
          <w:i/>
          <w:iCs/>
          <w:szCs w:val="20"/>
        </w:rPr>
        <w:t>mimo jiné to, aby se do právního systému nedostával</w:t>
      </w:r>
      <w:r w:rsidR="007A0E86">
        <w:rPr>
          <w:i/>
          <w:iCs/>
          <w:szCs w:val="20"/>
        </w:rPr>
        <w:t>a vadná ustanovení a paragrafy</w:t>
      </w:r>
      <w:r w:rsidRPr="00644CA7">
        <w:rPr>
          <w:i/>
          <w:iCs/>
          <w:szCs w:val="20"/>
        </w:rPr>
        <w:t xml:space="preserve">,“ </w:t>
      </w:r>
      <w:r w:rsidRPr="00644CA7">
        <w:rPr>
          <w:szCs w:val="20"/>
        </w:rPr>
        <w:t>říká Mojmír Hampl.</w:t>
      </w:r>
    </w:p>
    <w:p w14:paraId="1EFFBBF7" w14:textId="3FEA6364" w:rsidR="00B765CF" w:rsidRPr="00644CA7" w:rsidRDefault="00B765CF" w:rsidP="000F06CB">
      <w:pPr>
        <w:pStyle w:val="ZKLADNSTYL"/>
        <w:spacing w:line="276" w:lineRule="auto"/>
        <w:rPr>
          <w:szCs w:val="20"/>
        </w:rPr>
      </w:pPr>
      <w:r w:rsidRPr="00644CA7">
        <w:rPr>
          <w:szCs w:val="20"/>
        </w:rPr>
        <w:t xml:space="preserve">Největším problémem právní úpravy v novelizovaném znění je její nelogičnost a nejasnost. Zatímco ministerstvo financí z nynějšího znění zákona vyvozuje, že má z právního hlediska pro konsolidaci veřejných financí dostatek prostoru a času, a tedy nemusí spěchat, NRR uvádí, že ustanovení novelizující pravidlo strukturálního salda, konkrétně stanovení výdajových rámců, jednoznačně </w:t>
      </w:r>
      <w:r w:rsidR="00AC3E1A">
        <w:rPr>
          <w:szCs w:val="20"/>
        </w:rPr>
        <w:t xml:space="preserve">pamatuje </w:t>
      </w:r>
      <w:r w:rsidRPr="00644CA7">
        <w:rPr>
          <w:szCs w:val="20"/>
        </w:rPr>
        <w:t xml:space="preserve">pouze </w:t>
      </w:r>
      <w:r w:rsidR="00AC3E1A">
        <w:rPr>
          <w:szCs w:val="20"/>
        </w:rPr>
        <w:t xml:space="preserve">na </w:t>
      </w:r>
      <w:r w:rsidRPr="00644CA7">
        <w:rPr>
          <w:szCs w:val="20"/>
        </w:rPr>
        <w:t xml:space="preserve">rok 2022. Protože právní úprava pro rok 2023 a následující roky v ustanoveních, které přinesla novelizace, chybí, má být dle NRR od příštího roku opět aplikováno pravidlo strukturálního salda ve výši </w:t>
      </w:r>
      <w:r w:rsidR="00A657E7" w:rsidRPr="00644CA7">
        <w:rPr>
          <w:szCs w:val="20"/>
        </w:rPr>
        <w:t>–</w:t>
      </w:r>
      <w:r w:rsidRPr="00644CA7">
        <w:rPr>
          <w:szCs w:val="20"/>
        </w:rPr>
        <w:t xml:space="preserve">1 % HDP. </w:t>
      </w:r>
      <w:r w:rsidR="00AC3E1A">
        <w:rPr>
          <w:szCs w:val="20"/>
        </w:rPr>
        <w:t xml:space="preserve">Vrátit se k tomuto pravidlu by tedy znamenalo, že </w:t>
      </w:r>
      <w:r w:rsidR="00B86175">
        <w:rPr>
          <w:szCs w:val="20"/>
        </w:rPr>
        <w:t xml:space="preserve">by </w:t>
      </w:r>
      <w:r w:rsidR="00AC3E1A">
        <w:rPr>
          <w:szCs w:val="20"/>
        </w:rPr>
        <w:t xml:space="preserve">deficit </w:t>
      </w:r>
      <w:r w:rsidR="00BF5C51">
        <w:rPr>
          <w:szCs w:val="20"/>
        </w:rPr>
        <w:t xml:space="preserve">pro rok 2023 </w:t>
      </w:r>
      <w:r w:rsidR="00AC3E1A">
        <w:rPr>
          <w:szCs w:val="20"/>
        </w:rPr>
        <w:t xml:space="preserve">musel být </w:t>
      </w:r>
      <w:r w:rsidR="00BF5C51">
        <w:rPr>
          <w:szCs w:val="20"/>
        </w:rPr>
        <w:t xml:space="preserve">o zhruba 140 mld. Kč nižší. </w:t>
      </w:r>
    </w:p>
    <w:p w14:paraId="53DAB1AB" w14:textId="77777777" w:rsidR="00B765CF" w:rsidRPr="00644CA7" w:rsidRDefault="00B765CF" w:rsidP="000F06CB">
      <w:pPr>
        <w:pStyle w:val="ZKLADNSTYL"/>
        <w:spacing w:line="276" w:lineRule="auto"/>
        <w:rPr>
          <w:b/>
          <w:bCs/>
          <w:szCs w:val="20"/>
        </w:rPr>
      </w:pPr>
      <w:r w:rsidRPr="00644CA7">
        <w:rPr>
          <w:b/>
          <w:bCs/>
          <w:szCs w:val="20"/>
        </w:rPr>
        <w:t>Stárnutí populace nadále hlavním faktorem dlouhodobé nerovnováhy</w:t>
      </w:r>
    </w:p>
    <w:p w14:paraId="07DEDD25" w14:textId="100E9750" w:rsidR="00B765CF" w:rsidRPr="00644CA7" w:rsidRDefault="00B765CF" w:rsidP="000F06CB">
      <w:pPr>
        <w:pStyle w:val="ZKLADNSTYL"/>
        <w:spacing w:line="276" w:lineRule="auto"/>
        <w:rPr>
          <w:szCs w:val="20"/>
        </w:rPr>
      </w:pPr>
      <w:r w:rsidRPr="00644CA7">
        <w:rPr>
          <w:szCs w:val="20"/>
        </w:rPr>
        <w:t xml:space="preserve">Klíčovým ukazatelem situace veřejných financí z dlouhodobého hlediska je projekce výše veřejného dluhu na konci 50letého horizontu. Dle letošní projekce, předpokládající po dobu příštích padesáti let </w:t>
      </w:r>
      <w:r w:rsidR="006B2EF6">
        <w:rPr>
          <w:szCs w:val="20"/>
        </w:rPr>
        <w:t>stávající</w:t>
      </w:r>
      <w:r w:rsidRPr="00644CA7">
        <w:rPr>
          <w:szCs w:val="20"/>
        </w:rPr>
        <w:t xml:space="preserve"> příjmové a výdajové politiky, by v roce 2072 činil veřejný dluh 296 % HDP. </w:t>
      </w:r>
      <w:r w:rsidR="00F104C2" w:rsidRPr="00644CA7">
        <w:rPr>
          <w:szCs w:val="20"/>
        </w:rPr>
        <w:t xml:space="preserve">Nejedná se však </w:t>
      </w:r>
      <w:r w:rsidR="00F104C2" w:rsidRPr="008A4547">
        <w:rPr>
          <w:szCs w:val="20"/>
        </w:rPr>
        <w:t>o</w:t>
      </w:r>
      <w:r w:rsidR="008F7875" w:rsidRPr="008A4547">
        <w:rPr>
          <w:szCs w:val="20"/>
        </w:rPr>
        <w:t> </w:t>
      </w:r>
      <w:r w:rsidRPr="008A4547">
        <w:rPr>
          <w:szCs w:val="20"/>
        </w:rPr>
        <w:t>predikc</w:t>
      </w:r>
      <w:r w:rsidR="00F104C2" w:rsidRPr="008A4547">
        <w:rPr>
          <w:szCs w:val="20"/>
        </w:rPr>
        <w:t>i</w:t>
      </w:r>
      <w:r w:rsidRPr="008A4547">
        <w:rPr>
          <w:szCs w:val="20"/>
        </w:rPr>
        <w:t xml:space="preserve"> skutečné výše dluhu za padesát let, nýbrž </w:t>
      </w:r>
      <w:r w:rsidR="00F104C2" w:rsidRPr="008A4547">
        <w:rPr>
          <w:szCs w:val="20"/>
        </w:rPr>
        <w:t>o ukazatel</w:t>
      </w:r>
      <w:r w:rsidRPr="008A4547">
        <w:rPr>
          <w:szCs w:val="20"/>
        </w:rPr>
        <w:t xml:space="preserve"> rozsah</w:t>
      </w:r>
      <w:r w:rsidR="00F104C2" w:rsidRPr="008A4547">
        <w:rPr>
          <w:szCs w:val="20"/>
        </w:rPr>
        <w:t>u</w:t>
      </w:r>
      <w:r w:rsidRPr="008A4547">
        <w:rPr>
          <w:szCs w:val="20"/>
        </w:rPr>
        <w:t xml:space="preserve"> dlouhodobé nerovnováhy.</w:t>
      </w:r>
    </w:p>
    <w:p w14:paraId="0BD676C3" w14:textId="64A0AE21" w:rsidR="00B765CF" w:rsidRPr="00644CA7" w:rsidRDefault="00B765CF" w:rsidP="000F06C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4CA7">
        <w:rPr>
          <w:rFonts w:ascii="Arial" w:hAnsi="Arial" w:cs="Arial"/>
          <w:sz w:val="20"/>
          <w:szCs w:val="20"/>
        </w:rPr>
        <w:t>Jedním z hlavních důvodů dlouhodobé nerovnováhy veřejných financí je demografická struktura České republiky a s ní spojená neudržitelnost důchodového systému. Počet starobních důchodců bude dle Českého statistického úřadu kulminovat kolem roku 2058 na úrovni zhruba 3,1 milionu osob, což je přibližně o 700 tisíc více než nyní. Na jednoho občana staršího 65 let tak bude za 40 let připadat 1,7</w:t>
      </w:r>
      <w:r w:rsidR="008A4547">
        <w:rPr>
          <w:rFonts w:ascii="Arial" w:hAnsi="Arial" w:cs="Arial"/>
          <w:sz w:val="20"/>
          <w:szCs w:val="20"/>
        </w:rPr>
        <w:t> </w:t>
      </w:r>
      <w:r w:rsidRPr="00644CA7">
        <w:rPr>
          <w:rFonts w:ascii="Arial" w:hAnsi="Arial" w:cs="Arial"/>
          <w:sz w:val="20"/>
          <w:szCs w:val="20"/>
        </w:rPr>
        <w:t>osoby v produktivním věku (dnes je to 2,8 osob</w:t>
      </w:r>
      <w:r w:rsidR="008F7875" w:rsidRPr="00644CA7">
        <w:rPr>
          <w:rFonts w:ascii="Arial" w:hAnsi="Arial" w:cs="Arial"/>
          <w:sz w:val="20"/>
          <w:szCs w:val="20"/>
        </w:rPr>
        <w:t>y).</w:t>
      </w:r>
    </w:p>
    <w:p w14:paraId="3D96D1A9" w14:textId="77777777" w:rsidR="00B765CF" w:rsidRPr="00644CA7" w:rsidRDefault="00B765CF" w:rsidP="000F06CB">
      <w:pPr>
        <w:pStyle w:val="ZKLADNSTYL"/>
        <w:spacing w:line="276" w:lineRule="auto"/>
        <w:rPr>
          <w:b/>
          <w:bCs/>
          <w:szCs w:val="20"/>
        </w:rPr>
      </w:pPr>
      <w:r w:rsidRPr="00644CA7">
        <w:rPr>
          <w:b/>
          <w:bCs/>
          <w:szCs w:val="20"/>
        </w:rPr>
        <w:t>Náraz na dluhovou brzdu se oddaluje. Nezaslouženě a jen o pár let</w:t>
      </w:r>
    </w:p>
    <w:p w14:paraId="5DF60A6C" w14:textId="77777777" w:rsidR="00B765CF" w:rsidRPr="00644CA7" w:rsidRDefault="00B765CF" w:rsidP="000F06CB">
      <w:pPr>
        <w:pStyle w:val="ZKLADNSTYL"/>
        <w:spacing w:line="276" w:lineRule="auto"/>
        <w:rPr>
          <w:szCs w:val="20"/>
        </w:rPr>
      </w:pPr>
      <w:r w:rsidRPr="00644CA7">
        <w:rPr>
          <w:szCs w:val="20"/>
        </w:rPr>
        <w:t xml:space="preserve">Míru naléhavosti řešení obou nerovnováh NRR ukazuje také na projekci roku, kdy Česko narazí na takzvanou dluhovou brzdu, tedy kdy výše dluhu dosáhne hranice 55 % HDP, na které je tzv. dluhovým fiskálním pravidlem ukotvena. </w:t>
      </w:r>
    </w:p>
    <w:p w14:paraId="42FABCC2" w14:textId="5DBB0DDB" w:rsidR="00B765CF" w:rsidRPr="00644CA7" w:rsidRDefault="00B765CF" w:rsidP="000F06CB">
      <w:pPr>
        <w:pStyle w:val="ZKLADNSTYL"/>
        <w:spacing w:line="276" w:lineRule="auto"/>
        <w:rPr>
          <w:szCs w:val="20"/>
        </w:rPr>
      </w:pPr>
      <w:r w:rsidRPr="00644CA7">
        <w:rPr>
          <w:szCs w:val="20"/>
        </w:rPr>
        <w:t>V roce 2021 dosáhl poměr dluhu sektoru vládních institucí k HDP hodnoty 42 % a meziročně tak vzrostl o 4,4 p. b. Dle projekce NRR by k prolomení hranice dluhové brzdy došlo v roce 2028. Ve srovnání s</w:t>
      </w:r>
      <w:r w:rsidR="00B91AAE">
        <w:rPr>
          <w:szCs w:val="20"/>
        </w:rPr>
        <w:t> </w:t>
      </w:r>
      <w:r w:rsidRPr="00644CA7">
        <w:rPr>
          <w:szCs w:val="20"/>
        </w:rPr>
        <w:t xml:space="preserve">předchozí Zprávou to je o 4 roky </w:t>
      </w:r>
      <w:r w:rsidR="0089084E">
        <w:rPr>
          <w:szCs w:val="20"/>
        </w:rPr>
        <w:t>později</w:t>
      </w:r>
      <w:r w:rsidRPr="00644CA7">
        <w:rPr>
          <w:szCs w:val="20"/>
        </w:rPr>
        <w:t xml:space="preserve">, jedná se tedy o dílčí zlepšení. </w:t>
      </w:r>
      <w:r w:rsidRPr="00644CA7">
        <w:rPr>
          <w:i/>
          <w:iCs/>
          <w:szCs w:val="20"/>
        </w:rPr>
        <w:t>„Nejde však o důsledek žádoucích reforem, ale o fakt, že hospodaření veřejných rozpočtů v roce 2021 sko</w:t>
      </w:r>
      <w:r w:rsidR="008A4547">
        <w:rPr>
          <w:i/>
          <w:iCs/>
          <w:szCs w:val="20"/>
        </w:rPr>
        <w:t>n</w:t>
      </w:r>
      <w:r w:rsidRPr="00644CA7">
        <w:rPr>
          <w:i/>
          <w:iCs/>
          <w:szCs w:val="20"/>
        </w:rPr>
        <w:t xml:space="preserve">čilo lépe než bylo původně očekáváno. Určitou roli v tomto případě hraje také vysoká inflace, která snižuje </w:t>
      </w:r>
      <w:r w:rsidR="008A4547">
        <w:rPr>
          <w:i/>
          <w:iCs/>
          <w:szCs w:val="20"/>
        </w:rPr>
        <w:t>poměr veřejného</w:t>
      </w:r>
      <w:r w:rsidRPr="00644CA7">
        <w:rPr>
          <w:i/>
          <w:iCs/>
          <w:szCs w:val="20"/>
        </w:rPr>
        <w:t xml:space="preserve"> dluhu </w:t>
      </w:r>
      <w:r w:rsidR="008A4547">
        <w:rPr>
          <w:i/>
          <w:iCs/>
          <w:szCs w:val="20"/>
        </w:rPr>
        <w:t>k</w:t>
      </w:r>
      <w:r w:rsidRPr="00644CA7">
        <w:rPr>
          <w:i/>
          <w:iCs/>
          <w:szCs w:val="20"/>
        </w:rPr>
        <w:t> HDP,“</w:t>
      </w:r>
      <w:r w:rsidRPr="00644CA7">
        <w:rPr>
          <w:szCs w:val="20"/>
        </w:rPr>
        <w:t xml:space="preserve"> upozorňuje Jan Pavel. </w:t>
      </w:r>
    </w:p>
    <w:p w14:paraId="28282B0E" w14:textId="77777777" w:rsidR="00B765CF" w:rsidRPr="00644CA7" w:rsidRDefault="00B765CF" w:rsidP="000F06C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44CA7">
        <w:rPr>
          <w:rFonts w:ascii="Arial" w:hAnsi="Arial" w:cs="Arial"/>
          <w:b/>
          <w:bCs/>
          <w:sz w:val="20"/>
          <w:szCs w:val="20"/>
        </w:rPr>
        <w:t>Finanční zátěž pro budoucí generace</w:t>
      </w:r>
    </w:p>
    <w:p w14:paraId="602FDA04" w14:textId="503DCFB8" w:rsidR="001E16C8" w:rsidRPr="00644CA7" w:rsidRDefault="00B765CF" w:rsidP="000C26BA">
      <w:pPr>
        <w:pStyle w:val="Zkladnodstavec"/>
        <w:tabs>
          <w:tab w:val="left" w:pos="6804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44CA7">
        <w:rPr>
          <w:rFonts w:ascii="Arial" w:hAnsi="Arial" w:cs="Arial"/>
          <w:sz w:val="20"/>
          <w:szCs w:val="20"/>
        </w:rPr>
        <w:t>Fiskální rozvolnění během pandemie covidu není jedinou příčinou současné nerovnováhy veřejných financí. „</w:t>
      </w:r>
      <w:r w:rsidRPr="00644CA7">
        <w:rPr>
          <w:rFonts w:ascii="Arial" w:hAnsi="Arial" w:cs="Arial"/>
          <w:i/>
          <w:iCs/>
          <w:sz w:val="20"/>
          <w:szCs w:val="20"/>
        </w:rPr>
        <w:t>Kdyby se české vlády chovaly fiskálně odpovědně a během ekonomicky příznivých let, předcházejících pandemii</w:t>
      </w:r>
      <w:r w:rsidR="00C25455">
        <w:rPr>
          <w:rFonts w:ascii="Arial" w:hAnsi="Arial" w:cs="Arial"/>
          <w:i/>
          <w:iCs/>
          <w:sz w:val="20"/>
          <w:szCs w:val="20"/>
        </w:rPr>
        <w:t>,</w:t>
      </w:r>
      <w:r w:rsidR="009019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4CA7">
        <w:rPr>
          <w:rFonts w:ascii="Arial" w:hAnsi="Arial" w:cs="Arial"/>
          <w:i/>
          <w:iCs/>
          <w:sz w:val="20"/>
          <w:szCs w:val="20"/>
        </w:rPr>
        <w:t xml:space="preserve">vytvářely rezervy pro případ krize, byla by nynější situace veřejných financí výrazně optimističtější,“ </w:t>
      </w:r>
      <w:r w:rsidRPr="00644CA7">
        <w:rPr>
          <w:rFonts w:ascii="Arial" w:hAnsi="Arial" w:cs="Arial"/>
          <w:sz w:val="20"/>
          <w:szCs w:val="20"/>
        </w:rPr>
        <w:t>objasňuje Jan Pavel</w:t>
      </w:r>
      <w:r w:rsidRPr="00644CA7">
        <w:rPr>
          <w:rFonts w:ascii="Arial" w:hAnsi="Arial" w:cs="Arial"/>
          <w:i/>
          <w:iCs/>
          <w:sz w:val="20"/>
          <w:szCs w:val="20"/>
        </w:rPr>
        <w:t>.</w:t>
      </w:r>
      <w:r w:rsidRPr="00644CA7">
        <w:rPr>
          <w:rFonts w:ascii="Arial" w:hAnsi="Arial" w:cs="Arial"/>
          <w:sz w:val="20"/>
          <w:szCs w:val="20"/>
        </w:rPr>
        <w:t xml:space="preserve"> NRR také opakovaně vyzývá k provedení potřebných reforem v oblasti penzijního systému, který, jak ukazují její projekce, se v této podobě stane počínaje třicátými lety </w:t>
      </w:r>
      <w:r w:rsidR="00276ADE" w:rsidRPr="00644CA7">
        <w:rPr>
          <w:rFonts w:ascii="Arial" w:hAnsi="Arial" w:cs="Arial"/>
          <w:sz w:val="20"/>
          <w:szCs w:val="20"/>
        </w:rPr>
        <w:t>významným</w:t>
      </w:r>
      <w:r w:rsidR="00363BB3" w:rsidRPr="00644CA7">
        <w:rPr>
          <w:rFonts w:ascii="Arial" w:hAnsi="Arial" w:cs="Arial"/>
          <w:sz w:val="20"/>
          <w:szCs w:val="20"/>
        </w:rPr>
        <w:t xml:space="preserve"> faktorem tlačícím veřejné finance do deficitů</w:t>
      </w:r>
      <w:r w:rsidRPr="00644CA7">
        <w:rPr>
          <w:rFonts w:ascii="Arial" w:hAnsi="Arial" w:cs="Arial"/>
          <w:sz w:val="20"/>
          <w:szCs w:val="20"/>
        </w:rPr>
        <w:t>.</w:t>
      </w:r>
      <w:r w:rsidR="008F7875" w:rsidRPr="00644CA7">
        <w:rPr>
          <w:rFonts w:ascii="Arial" w:hAnsi="Arial" w:cs="Arial"/>
          <w:sz w:val="20"/>
          <w:szCs w:val="20"/>
        </w:rPr>
        <w:t xml:space="preserve"> </w:t>
      </w:r>
      <w:r w:rsidRPr="00644CA7">
        <w:rPr>
          <w:rFonts w:ascii="Arial" w:hAnsi="Arial" w:cs="Arial"/>
          <w:sz w:val="20"/>
          <w:szCs w:val="20"/>
        </w:rPr>
        <w:t>Odsouvání reformních kroků fakticky pouze přesouvá finanční zátěž z aktuálně ekonomicky aktivních generací na generace budoucí.</w:t>
      </w:r>
      <w:r w:rsidR="001E16C8" w:rsidRPr="00644CA7">
        <w:rPr>
          <w:rFonts w:ascii="Arial" w:hAnsi="Arial" w:cs="Arial"/>
          <w:sz w:val="20"/>
          <w:szCs w:val="20"/>
        </w:rPr>
        <w:t xml:space="preserve"> </w:t>
      </w:r>
    </w:p>
    <w:p w14:paraId="28EF63A6" w14:textId="6D9DFA19" w:rsidR="00106F50" w:rsidRPr="00644CA7" w:rsidRDefault="00B765CF" w:rsidP="000F06CB">
      <w:pPr>
        <w:pStyle w:val="Zkladnodstavec"/>
        <w:tabs>
          <w:tab w:val="left" w:pos="6804"/>
        </w:tabs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44CA7">
        <w:rPr>
          <w:rFonts w:ascii="Arial" w:hAnsi="Arial" w:cs="Arial"/>
          <w:i/>
          <w:iCs/>
          <w:sz w:val="20"/>
          <w:szCs w:val="20"/>
        </w:rPr>
        <w:t>„Bohužel ani aktuální vývoj nenasvědčuje, že by se situace veřejných financí měla obracet k lepšímu. Naopak, avizované</w:t>
      </w:r>
      <w:r w:rsidR="00E04CDB">
        <w:rPr>
          <w:rFonts w:ascii="Arial" w:hAnsi="Arial" w:cs="Arial"/>
          <w:i/>
          <w:iCs/>
          <w:sz w:val="20"/>
          <w:szCs w:val="20"/>
        </w:rPr>
        <w:t xml:space="preserve"> zásahy do energetického trhu</w:t>
      </w:r>
      <w:r w:rsidRPr="00644CA7">
        <w:rPr>
          <w:rFonts w:ascii="Arial" w:hAnsi="Arial" w:cs="Arial"/>
          <w:i/>
          <w:iCs/>
          <w:sz w:val="20"/>
          <w:szCs w:val="20"/>
        </w:rPr>
        <w:t xml:space="preserve"> </w:t>
      </w:r>
      <w:r w:rsidR="00E04CDB" w:rsidRPr="00644CA7">
        <w:rPr>
          <w:rFonts w:ascii="Arial" w:hAnsi="Arial" w:cs="Arial"/>
          <w:i/>
          <w:iCs/>
          <w:sz w:val="20"/>
          <w:szCs w:val="20"/>
        </w:rPr>
        <w:t>m</w:t>
      </w:r>
      <w:r w:rsidR="00E04CDB">
        <w:rPr>
          <w:rFonts w:ascii="Arial" w:hAnsi="Arial" w:cs="Arial"/>
          <w:i/>
          <w:iCs/>
          <w:sz w:val="20"/>
          <w:szCs w:val="20"/>
        </w:rPr>
        <w:t>ohou</w:t>
      </w:r>
      <w:r w:rsidR="00E04CDB" w:rsidRPr="00644CA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4CA7">
        <w:rPr>
          <w:rFonts w:ascii="Arial" w:hAnsi="Arial" w:cs="Arial"/>
          <w:i/>
          <w:iCs/>
          <w:sz w:val="20"/>
          <w:szCs w:val="20"/>
        </w:rPr>
        <w:t xml:space="preserve">pro veřejné rozpočty znamenat bezprecedentní </w:t>
      </w:r>
      <w:r w:rsidR="00E04CDB">
        <w:rPr>
          <w:rFonts w:ascii="Arial" w:hAnsi="Arial" w:cs="Arial"/>
          <w:i/>
          <w:iCs/>
          <w:sz w:val="20"/>
          <w:szCs w:val="20"/>
        </w:rPr>
        <w:t xml:space="preserve">a přitom dlouhodobou </w:t>
      </w:r>
      <w:r w:rsidRPr="00644CA7">
        <w:rPr>
          <w:rFonts w:ascii="Arial" w:hAnsi="Arial" w:cs="Arial"/>
          <w:i/>
          <w:iCs/>
          <w:sz w:val="20"/>
          <w:szCs w:val="20"/>
        </w:rPr>
        <w:t>zátěž</w:t>
      </w:r>
      <w:r w:rsidR="008A4547">
        <w:rPr>
          <w:rFonts w:ascii="Arial" w:hAnsi="Arial" w:cs="Arial"/>
          <w:i/>
          <w:iCs/>
          <w:sz w:val="20"/>
          <w:szCs w:val="20"/>
        </w:rPr>
        <w:t xml:space="preserve">. </w:t>
      </w:r>
      <w:r w:rsidR="00E04CDB">
        <w:rPr>
          <w:rFonts w:ascii="Arial" w:hAnsi="Arial" w:cs="Arial"/>
          <w:i/>
          <w:iCs/>
          <w:sz w:val="20"/>
          <w:szCs w:val="20"/>
        </w:rPr>
        <w:t xml:space="preserve">Jak ukazuje zkušenost ze světa, jednou </w:t>
      </w:r>
      <w:r w:rsidR="000C1E83">
        <w:rPr>
          <w:rFonts w:ascii="Arial" w:hAnsi="Arial" w:cs="Arial"/>
          <w:i/>
          <w:iCs/>
          <w:sz w:val="20"/>
          <w:szCs w:val="20"/>
        </w:rPr>
        <w:t>spuštěné</w:t>
      </w:r>
      <w:r w:rsidR="00E04CDB">
        <w:rPr>
          <w:rFonts w:ascii="Arial" w:hAnsi="Arial" w:cs="Arial"/>
          <w:i/>
          <w:iCs/>
          <w:sz w:val="20"/>
          <w:szCs w:val="20"/>
        </w:rPr>
        <w:t xml:space="preserve"> </w:t>
      </w:r>
      <w:r w:rsidR="000C1E83">
        <w:rPr>
          <w:rFonts w:ascii="Arial" w:hAnsi="Arial" w:cs="Arial"/>
          <w:i/>
          <w:iCs/>
          <w:sz w:val="20"/>
          <w:szCs w:val="20"/>
        </w:rPr>
        <w:t xml:space="preserve">rozsáhlé programy kompenzací cen energií se velmi obtížně vypínají a mohou se stát dalším významným </w:t>
      </w:r>
      <w:r w:rsidR="00A97BC3">
        <w:rPr>
          <w:rFonts w:ascii="Arial" w:hAnsi="Arial" w:cs="Arial"/>
          <w:i/>
          <w:iCs/>
          <w:sz w:val="20"/>
          <w:szCs w:val="20"/>
        </w:rPr>
        <w:t>mandatorním výdajem veřejných rozpočtů</w:t>
      </w:r>
      <w:r w:rsidR="00A812EB">
        <w:rPr>
          <w:rFonts w:ascii="Arial" w:hAnsi="Arial" w:cs="Arial"/>
          <w:i/>
          <w:iCs/>
          <w:sz w:val="20"/>
          <w:szCs w:val="20"/>
        </w:rPr>
        <w:t xml:space="preserve">, a to zejména </w:t>
      </w:r>
      <w:r w:rsidR="00A97BC3">
        <w:rPr>
          <w:rFonts w:ascii="Arial" w:hAnsi="Arial" w:cs="Arial"/>
          <w:i/>
          <w:iCs/>
          <w:sz w:val="20"/>
          <w:szCs w:val="20"/>
        </w:rPr>
        <w:t>v situaci, kdy většina odborníků nečeká rychlý návrat cen energií na úrovně před začát</w:t>
      </w:r>
      <w:r w:rsidR="00EA3010">
        <w:rPr>
          <w:rFonts w:ascii="Arial" w:hAnsi="Arial" w:cs="Arial"/>
          <w:i/>
          <w:iCs/>
          <w:sz w:val="20"/>
          <w:szCs w:val="20"/>
        </w:rPr>
        <w:t xml:space="preserve">kem </w:t>
      </w:r>
      <w:r w:rsidR="00A97BC3">
        <w:rPr>
          <w:rFonts w:ascii="Arial" w:hAnsi="Arial" w:cs="Arial"/>
          <w:i/>
          <w:iCs/>
          <w:sz w:val="20"/>
          <w:szCs w:val="20"/>
        </w:rPr>
        <w:t>roku 2022</w:t>
      </w:r>
      <w:r w:rsidR="00A812EB">
        <w:rPr>
          <w:rFonts w:ascii="Arial" w:hAnsi="Arial" w:cs="Arial"/>
          <w:i/>
          <w:iCs/>
          <w:sz w:val="20"/>
          <w:szCs w:val="20"/>
        </w:rPr>
        <w:t xml:space="preserve">. To </w:t>
      </w:r>
      <w:r w:rsidR="002F6D9C">
        <w:rPr>
          <w:rFonts w:ascii="Arial" w:hAnsi="Arial" w:cs="Arial"/>
          <w:i/>
          <w:iCs/>
          <w:sz w:val="20"/>
          <w:szCs w:val="20"/>
        </w:rPr>
        <w:t>bude zesíleno faktem, že samotné kompenzační programy budou do jisté míry umožňovat cenám držet</w:t>
      </w:r>
      <w:r w:rsidR="00E71A0D">
        <w:rPr>
          <w:rFonts w:ascii="Arial" w:hAnsi="Arial" w:cs="Arial"/>
          <w:i/>
          <w:iCs/>
          <w:sz w:val="20"/>
          <w:szCs w:val="20"/>
        </w:rPr>
        <w:t xml:space="preserve"> se</w:t>
      </w:r>
      <w:r w:rsidR="002F6D9C">
        <w:rPr>
          <w:rFonts w:ascii="Arial" w:hAnsi="Arial" w:cs="Arial"/>
          <w:i/>
          <w:iCs/>
          <w:sz w:val="20"/>
          <w:szCs w:val="20"/>
        </w:rPr>
        <w:t xml:space="preserve"> na vyšších úrovních,</w:t>
      </w:r>
      <w:r w:rsidRPr="00644CA7">
        <w:rPr>
          <w:rFonts w:ascii="Arial" w:hAnsi="Arial" w:cs="Arial"/>
          <w:i/>
          <w:iCs/>
          <w:sz w:val="20"/>
          <w:szCs w:val="20"/>
        </w:rPr>
        <w:t xml:space="preserve">“ </w:t>
      </w:r>
      <w:r w:rsidRPr="00644CA7">
        <w:rPr>
          <w:rFonts w:ascii="Arial" w:hAnsi="Arial" w:cs="Arial"/>
          <w:sz w:val="20"/>
          <w:szCs w:val="20"/>
        </w:rPr>
        <w:t>uzavírá Mojmír Hampl.</w:t>
      </w:r>
    </w:p>
    <w:p w14:paraId="6CA74949" w14:textId="56065DD8" w:rsidR="009B4550" w:rsidRPr="00644CA7" w:rsidRDefault="009B4550" w:rsidP="007561DC">
      <w:pPr>
        <w:spacing w:after="0"/>
        <w:rPr>
          <w:rFonts w:ascii="Arial" w:hAnsi="Arial" w:cs="Arial"/>
          <w:b/>
          <w:sz w:val="16"/>
          <w:szCs w:val="16"/>
        </w:rPr>
      </w:pPr>
    </w:p>
    <w:p w14:paraId="28A76549" w14:textId="177199F0" w:rsidR="009B4550" w:rsidRPr="00644CA7" w:rsidRDefault="009B4550" w:rsidP="007561DC">
      <w:pPr>
        <w:spacing w:after="0"/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>---</w:t>
      </w:r>
    </w:p>
    <w:p w14:paraId="2AF8B5C2" w14:textId="3C6EC287" w:rsidR="00AF41D5" w:rsidRPr="00644CA7" w:rsidRDefault="00C37F86" w:rsidP="007561DC">
      <w:pPr>
        <w:spacing w:after="0"/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 xml:space="preserve">O </w:t>
      </w:r>
      <w:r w:rsidR="00AF41D5" w:rsidRPr="00644CA7">
        <w:rPr>
          <w:rFonts w:ascii="Arial" w:hAnsi="Arial" w:cs="Arial"/>
          <w:b/>
          <w:sz w:val="16"/>
          <w:szCs w:val="16"/>
        </w:rPr>
        <w:t>Zprávě o dlouhodobé udržitelnosti veřejných financí</w:t>
      </w:r>
    </w:p>
    <w:p w14:paraId="55547ABD" w14:textId="270C9D66" w:rsidR="007561DC" w:rsidRPr="00644CA7" w:rsidRDefault="007561DC" w:rsidP="007561DC">
      <w:pPr>
        <w:pStyle w:val="ZKLADNSTYL"/>
        <w:rPr>
          <w:rFonts w:cs="Arial"/>
          <w:color w:val="auto"/>
          <w:sz w:val="16"/>
          <w:szCs w:val="16"/>
        </w:rPr>
      </w:pPr>
      <w:r w:rsidRPr="00644CA7">
        <w:rPr>
          <w:rFonts w:cs="Arial"/>
          <w:color w:val="auto"/>
          <w:sz w:val="16"/>
          <w:szCs w:val="16"/>
        </w:rPr>
        <w:t xml:space="preserve">Jedním ze stěžejních úkolů Národní rozpočtové rady (NRR) dle </w:t>
      </w:r>
      <w:r w:rsidR="0082198C">
        <w:rPr>
          <w:rFonts w:cs="Arial"/>
          <w:color w:val="auto"/>
          <w:sz w:val="16"/>
          <w:szCs w:val="16"/>
        </w:rPr>
        <w:t>z</w:t>
      </w:r>
      <w:r w:rsidRPr="00644CA7">
        <w:rPr>
          <w:rFonts w:cs="Arial"/>
          <w:color w:val="auto"/>
          <w:sz w:val="16"/>
          <w:szCs w:val="16"/>
        </w:rPr>
        <w:t xml:space="preserve">ákona č. 23/2017 Sb., o pravidlech rozpočtové odpovědnosti, ve znění pozdějších předpisů, je každoroční vypracování Zprávy o dlouhodobé udržitelnosti veřejných financí (Zpráva) a její předložení Poslanecké sněmovně Parlamentu ČR. </w:t>
      </w:r>
    </w:p>
    <w:p w14:paraId="777AD872" w14:textId="6034E265" w:rsidR="007561DC" w:rsidRPr="00644CA7" w:rsidRDefault="007561DC" w:rsidP="007561DC">
      <w:pPr>
        <w:pStyle w:val="ZKLADNSTYL"/>
        <w:rPr>
          <w:rFonts w:cs="Arial"/>
          <w:bCs/>
          <w:color w:val="auto"/>
          <w:sz w:val="16"/>
          <w:szCs w:val="16"/>
        </w:rPr>
      </w:pPr>
      <w:r w:rsidRPr="00644CA7">
        <w:rPr>
          <w:rFonts w:cs="Arial"/>
          <w:bCs/>
          <w:color w:val="auto"/>
          <w:sz w:val="16"/>
          <w:szCs w:val="16"/>
        </w:rPr>
        <w:t xml:space="preserve">NRR v této zprávě vyhodnocuje situaci českých veřejných financí ze střednědobého i dlouhodobého hlediska. V prvním případě je klíčovým ukazatelem aktuální výše strukturálního salda, v druhém projektovaný vývoj veřejného dluhu v horizontu 50 let, který modelově ukazuje rozsah dlouhodobé nerovnováhy. Míru naléhavosti řešení obou nerovnováh je pak demonstrován na odhadu roku, kdy při nezměněných příjmových a výdajových politikách hrozí náraz do tzv. dluhové brzdy (55 % HDP). </w:t>
      </w:r>
    </w:p>
    <w:p w14:paraId="04E769A5" w14:textId="25A84965" w:rsidR="008562BC" w:rsidRDefault="00AF41D5" w:rsidP="000F3D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 xml:space="preserve">O </w:t>
      </w:r>
      <w:r w:rsidR="00C37F86" w:rsidRPr="00644CA7">
        <w:rPr>
          <w:rFonts w:ascii="Arial" w:hAnsi="Arial" w:cs="Arial"/>
          <w:b/>
          <w:sz w:val="16"/>
          <w:szCs w:val="16"/>
        </w:rPr>
        <w:t>Národní rozpočtové radě</w:t>
      </w:r>
    </w:p>
    <w:p w14:paraId="431DA16A" w14:textId="6D94A62A" w:rsidR="00C37F86" w:rsidRPr="00644CA7" w:rsidRDefault="00C37F86" w:rsidP="008562BC">
      <w:pPr>
        <w:jc w:val="both"/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sz w:val="16"/>
          <w:szCs w:val="16"/>
        </w:rPr>
        <w:t xml:space="preserve">Národní rozpočtová rada je nezávislý odborný orgán, jehož hlavním posláním je vyhodnocovat, zda stát a další veřejné instituce dodržují pravidla rozpočtové odpovědnosti daná </w:t>
      </w:r>
      <w:hyperlink r:id="rId13" w:tgtFrame="_blank" w:history="1">
        <w:r w:rsidRPr="00644CA7">
          <w:rPr>
            <w:rFonts w:ascii="Arial" w:hAnsi="Arial" w:cs="Arial"/>
            <w:sz w:val="16"/>
            <w:szCs w:val="16"/>
          </w:rPr>
          <w:t>zákonem č. 23/2017 Sb.</w:t>
        </w:r>
      </w:hyperlink>
      <w:r w:rsidRPr="00644CA7">
        <w:rPr>
          <w:rFonts w:ascii="Arial" w:hAnsi="Arial" w:cs="Arial"/>
          <w:sz w:val="16"/>
          <w:szCs w:val="16"/>
        </w:rPr>
        <w:t xml:space="preserve">, o pravidlech rozpočtové odpovědnosti. Činnost Národní rozpočtové rady zároveň přispívá k udržitelnosti veřejných financí České republiky a snižuje riziko nadměrného zadlužování státu. Členy Národní rozpočtové rady jsou </w:t>
      </w:r>
      <w:r w:rsidR="00AF41D5" w:rsidRPr="00644CA7">
        <w:rPr>
          <w:rFonts w:ascii="Arial" w:hAnsi="Arial" w:cs="Arial"/>
          <w:sz w:val="16"/>
          <w:szCs w:val="16"/>
        </w:rPr>
        <w:t>Mojmír Hampl</w:t>
      </w:r>
      <w:r w:rsidRPr="00644CA7">
        <w:rPr>
          <w:rFonts w:ascii="Arial" w:hAnsi="Arial" w:cs="Arial"/>
          <w:sz w:val="16"/>
          <w:szCs w:val="16"/>
        </w:rPr>
        <w:t xml:space="preserve"> (předsed</w:t>
      </w:r>
      <w:r w:rsidR="00AF41D5" w:rsidRPr="00644CA7">
        <w:rPr>
          <w:rFonts w:ascii="Arial" w:hAnsi="Arial" w:cs="Arial"/>
          <w:sz w:val="16"/>
          <w:szCs w:val="16"/>
        </w:rPr>
        <w:t>a</w:t>
      </w:r>
      <w:r w:rsidRPr="00644CA7">
        <w:rPr>
          <w:rFonts w:ascii="Arial" w:hAnsi="Arial" w:cs="Arial"/>
          <w:sz w:val="16"/>
          <w:szCs w:val="16"/>
        </w:rPr>
        <w:t>)</w:t>
      </w:r>
      <w:r w:rsidR="00AF41D5" w:rsidRPr="00644CA7">
        <w:rPr>
          <w:rFonts w:ascii="Arial" w:hAnsi="Arial" w:cs="Arial"/>
          <w:sz w:val="16"/>
          <w:szCs w:val="16"/>
        </w:rPr>
        <w:t xml:space="preserve"> </w:t>
      </w:r>
      <w:r w:rsidRPr="00644CA7">
        <w:rPr>
          <w:rFonts w:ascii="Arial" w:hAnsi="Arial" w:cs="Arial"/>
          <w:sz w:val="16"/>
          <w:szCs w:val="16"/>
        </w:rPr>
        <w:t xml:space="preserve">a Jan Pavel. Více informací naleznete na </w:t>
      </w:r>
      <w:hyperlink r:id="rId14" w:history="1">
        <w:r w:rsidRPr="00644CA7">
          <w:rPr>
            <w:rStyle w:val="Hyperlink"/>
            <w:rFonts w:ascii="Arial" w:hAnsi="Arial" w:cs="Arial"/>
            <w:sz w:val="16"/>
            <w:szCs w:val="16"/>
          </w:rPr>
          <w:t>www.unrr.cz</w:t>
        </w:r>
      </w:hyperlink>
      <w:r w:rsidR="000F3D11">
        <w:rPr>
          <w:rStyle w:val="Hyperlink"/>
          <w:rFonts w:ascii="Arial" w:hAnsi="Arial" w:cs="Arial"/>
          <w:sz w:val="16"/>
          <w:szCs w:val="16"/>
        </w:rPr>
        <w:t>.</w:t>
      </w:r>
    </w:p>
    <w:p w14:paraId="258C9DB8" w14:textId="3811C183" w:rsidR="00391FA6" w:rsidRPr="00287AD5" w:rsidRDefault="00C37F86" w:rsidP="009B4550">
      <w:pPr>
        <w:rPr>
          <w:rFonts w:ascii="Segoe UI" w:hAnsi="Segoe UI" w:cs="Segoe UI"/>
          <w:i/>
          <w:iCs/>
          <w:sz w:val="18"/>
          <w:szCs w:val="18"/>
        </w:rPr>
      </w:pPr>
      <w:r w:rsidRPr="00644CA7">
        <w:rPr>
          <w:rFonts w:ascii="Arial" w:hAnsi="Arial" w:cs="Arial"/>
          <w:b/>
          <w:bCs/>
          <w:sz w:val="16"/>
          <w:szCs w:val="16"/>
        </w:rPr>
        <w:t>Kontakt pro média:</w:t>
      </w:r>
      <w:r w:rsidRPr="00644CA7">
        <w:rPr>
          <w:rFonts w:ascii="Arial" w:hAnsi="Arial" w:cs="Arial"/>
          <w:sz w:val="16"/>
          <w:szCs w:val="16"/>
        </w:rPr>
        <w:br/>
      </w:r>
      <w:r w:rsidR="00AF41D5" w:rsidRPr="00644CA7">
        <w:rPr>
          <w:rFonts w:ascii="Arial" w:hAnsi="Arial" w:cs="Arial"/>
          <w:sz w:val="16"/>
          <w:szCs w:val="16"/>
        </w:rPr>
        <w:t>Monika Petrásková</w:t>
      </w:r>
      <w:r w:rsidRPr="00644CA7">
        <w:rPr>
          <w:rFonts w:ascii="Arial" w:hAnsi="Arial" w:cs="Arial"/>
          <w:sz w:val="16"/>
          <w:szCs w:val="16"/>
        </w:rPr>
        <w:br/>
        <w:t>+420</w:t>
      </w:r>
      <w:r w:rsidR="00AF41D5" w:rsidRPr="00644CA7">
        <w:rPr>
          <w:rFonts w:ascii="Arial" w:hAnsi="Arial" w:cs="Arial"/>
          <w:sz w:val="16"/>
          <w:szCs w:val="16"/>
        </w:rPr>
        <w:t> 733 130 282</w:t>
      </w:r>
      <w:r w:rsidRPr="00644CA7">
        <w:rPr>
          <w:rFonts w:ascii="Arial" w:hAnsi="Arial" w:cs="Arial"/>
          <w:sz w:val="16"/>
          <w:szCs w:val="16"/>
        </w:rPr>
        <w:br/>
      </w:r>
      <w:hyperlink r:id="rId15" w:history="1">
        <w:r w:rsidR="00106F50" w:rsidRPr="00644CA7">
          <w:rPr>
            <w:rStyle w:val="Hyperlink"/>
            <w:rFonts w:ascii="Arial" w:hAnsi="Arial" w:cs="Arial"/>
            <w:sz w:val="16"/>
            <w:szCs w:val="16"/>
          </w:rPr>
          <w:t>media@unrr.cz</w:t>
        </w:r>
      </w:hyperlink>
    </w:p>
    <w:sectPr w:rsidR="00391FA6" w:rsidRPr="00287AD5" w:rsidSect="00B71438">
      <w:headerReference w:type="default" r:id="rId16"/>
      <w:type w:val="continuous"/>
      <w:pgSz w:w="11906" w:h="16838"/>
      <w:pgMar w:top="1417" w:right="1417" w:bottom="993" w:left="1417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0995" w14:textId="77777777" w:rsidR="009C71E1" w:rsidRDefault="009C71E1" w:rsidP="006B2CBF">
      <w:pPr>
        <w:spacing w:after="0" w:line="240" w:lineRule="auto"/>
      </w:pPr>
      <w:r>
        <w:separator/>
      </w:r>
    </w:p>
  </w:endnote>
  <w:endnote w:type="continuationSeparator" w:id="0">
    <w:p w14:paraId="0EF0340F" w14:textId="77777777" w:rsidR="009C71E1" w:rsidRDefault="009C71E1" w:rsidP="006B2CBF">
      <w:pPr>
        <w:spacing w:after="0" w:line="240" w:lineRule="auto"/>
      </w:pPr>
      <w:r>
        <w:continuationSeparator/>
      </w:r>
    </w:p>
  </w:endnote>
  <w:endnote w:type="continuationNotice" w:id="1">
    <w:p w14:paraId="060F721F" w14:textId="77777777" w:rsidR="009C71E1" w:rsidRDefault="009C7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894052"/>
      <w:docPartObj>
        <w:docPartGallery w:val="Page Numbers (Bottom of Page)"/>
        <w:docPartUnique/>
      </w:docPartObj>
    </w:sdtPr>
    <w:sdtContent>
      <w:p w14:paraId="436612EA" w14:textId="658DF1B0" w:rsidR="00ED18EE" w:rsidRDefault="00ED18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C6397" w14:textId="77777777" w:rsidR="00ED18EE" w:rsidRDefault="00ED1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DECF" w14:textId="77777777" w:rsidR="009C71E1" w:rsidRDefault="009C71E1" w:rsidP="006B2CBF">
      <w:pPr>
        <w:spacing w:after="0" w:line="240" w:lineRule="auto"/>
      </w:pPr>
      <w:r>
        <w:separator/>
      </w:r>
    </w:p>
  </w:footnote>
  <w:footnote w:type="continuationSeparator" w:id="0">
    <w:p w14:paraId="00EE3047" w14:textId="77777777" w:rsidR="009C71E1" w:rsidRDefault="009C71E1" w:rsidP="006B2CBF">
      <w:pPr>
        <w:spacing w:after="0" w:line="240" w:lineRule="auto"/>
      </w:pPr>
      <w:r>
        <w:continuationSeparator/>
      </w:r>
    </w:p>
  </w:footnote>
  <w:footnote w:type="continuationNotice" w:id="1">
    <w:p w14:paraId="4B93CEE6" w14:textId="77777777" w:rsidR="009C71E1" w:rsidRDefault="009C71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39E61E7C" w:rsidR="006B2CBF" w:rsidRPr="009B4550" w:rsidRDefault="006F16F2" w:rsidP="009B4550">
    <w:pPr>
      <w:pStyle w:val="Header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F1174C8" wp14:editId="148C95E1">
          <wp:simplePos x="0" y="0"/>
          <wp:positionH relativeFrom="column">
            <wp:posOffset>-534035</wp:posOffset>
          </wp:positionH>
          <wp:positionV relativeFrom="paragraph">
            <wp:posOffset>-264160</wp:posOffset>
          </wp:positionV>
          <wp:extent cx="2856206" cy="1320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70A">
      <w:rPr>
        <w:rFonts w:ascii="Arial" w:hAnsi="Arial" w:cs="Arial"/>
        <w:sz w:val="18"/>
        <w:szCs w:val="18"/>
      </w:rPr>
      <w:t>Tisková zpráva</w:t>
    </w:r>
    <w:r w:rsidR="009B4550" w:rsidRPr="009B4550">
      <w:rPr>
        <w:rFonts w:ascii="Arial" w:hAnsi="Arial" w:cs="Arial"/>
        <w:sz w:val="18"/>
        <w:szCs w:val="18"/>
      </w:rPr>
      <w:t xml:space="preserve"> </w:t>
    </w:r>
  </w:p>
  <w:p w14:paraId="09581991" w14:textId="5946A761" w:rsidR="009B4550" w:rsidRPr="009B4550" w:rsidRDefault="009B4550" w:rsidP="009B4550">
    <w:pPr>
      <w:pStyle w:val="Header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sz w:val="18"/>
        <w:szCs w:val="18"/>
      </w:rPr>
      <w:t xml:space="preserve">Praha, </w:t>
    </w:r>
    <w:r w:rsidR="00695CF6">
      <w:rPr>
        <w:rFonts w:ascii="Arial" w:hAnsi="Arial" w:cs="Arial"/>
        <w:sz w:val="18"/>
        <w:szCs w:val="18"/>
      </w:rPr>
      <w:t>15</w:t>
    </w:r>
    <w:r w:rsidRPr="009B4550">
      <w:rPr>
        <w:rFonts w:ascii="Arial" w:hAnsi="Arial" w:cs="Arial"/>
        <w:sz w:val="18"/>
        <w:szCs w:val="18"/>
      </w:rPr>
      <w:t>. září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C7BD" w14:textId="5A89BD85" w:rsidR="00A037BD" w:rsidRDefault="00A037BD" w:rsidP="006B2CBF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77E6"/>
    <w:multiLevelType w:val="hybridMultilevel"/>
    <w:tmpl w:val="F9502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04CC4"/>
    <w:multiLevelType w:val="hybridMultilevel"/>
    <w:tmpl w:val="94028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32379">
    <w:abstractNumId w:val="0"/>
  </w:num>
  <w:num w:numId="2" w16cid:durableId="136178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5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NTA0NjE1NzM3NbFQ0lEKTi0uzszPAykwrQUAn6+XWSwAAAA="/>
  </w:docVars>
  <w:rsids>
    <w:rsidRoot w:val="006B2CBF"/>
    <w:rsid w:val="00014B4B"/>
    <w:rsid w:val="00024C9C"/>
    <w:rsid w:val="00024FF4"/>
    <w:rsid w:val="00026B04"/>
    <w:rsid w:val="00032D9B"/>
    <w:rsid w:val="00054A78"/>
    <w:rsid w:val="00067C6A"/>
    <w:rsid w:val="00084784"/>
    <w:rsid w:val="000935E7"/>
    <w:rsid w:val="00094A96"/>
    <w:rsid w:val="00094F4C"/>
    <w:rsid w:val="00095006"/>
    <w:rsid w:val="000956B0"/>
    <w:rsid w:val="000B1ECF"/>
    <w:rsid w:val="000C1E83"/>
    <w:rsid w:val="000C26BA"/>
    <w:rsid w:val="000F06CB"/>
    <w:rsid w:val="000F3D11"/>
    <w:rsid w:val="000F734E"/>
    <w:rsid w:val="00106F50"/>
    <w:rsid w:val="0013220C"/>
    <w:rsid w:val="00145052"/>
    <w:rsid w:val="00145B4F"/>
    <w:rsid w:val="0015526A"/>
    <w:rsid w:val="001612D2"/>
    <w:rsid w:val="00163749"/>
    <w:rsid w:val="0017622C"/>
    <w:rsid w:val="001B304A"/>
    <w:rsid w:val="001B3DF4"/>
    <w:rsid w:val="001B50D5"/>
    <w:rsid w:val="001C716A"/>
    <w:rsid w:val="001E16C8"/>
    <w:rsid w:val="001E4365"/>
    <w:rsid w:val="001F0B73"/>
    <w:rsid w:val="001F259D"/>
    <w:rsid w:val="001F2EFC"/>
    <w:rsid w:val="00202782"/>
    <w:rsid w:val="002164E2"/>
    <w:rsid w:val="0021721C"/>
    <w:rsid w:val="0022724B"/>
    <w:rsid w:val="00227510"/>
    <w:rsid w:val="002550D8"/>
    <w:rsid w:val="00257E1F"/>
    <w:rsid w:val="002604F7"/>
    <w:rsid w:val="00261C9B"/>
    <w:rsid w:val="00276ADE"/>
    <w:rsid w:val="00287AD5"/>
    <w:rsid w:val="002B4B35"/>
    <w:rsid w:val="002C2F6F"/>
    <w:rsid w:val="002F6D9C"/>
    <w:rsid w:val="003058AE"/>
    <w:rsid w:val="00306A43"/>
    <w:rsid w:val="003111F9"/>
    <w:rsid w:val="00312ECB"/>
    <w:rsid w:val="00315F6A"/>
    <w:rsid w:val="00324DB5"/>
    <w:rsid w:val="00345F7A"/>
    <w:rsid w:val="0035764A"/>
    <w:rsid w:val="00360F68"/>
    <w:rsid w:val="00363BB3"/>
    <w:rsid w:val="00370D2C"/>
    <w:rsid w:val="00390C2D"/>
    <w:rsid w:val="00391FA6"/>
    <w:rsid w:val="003952ED"/>
    <w:rsid w:val="003A0F6C"/>
    <w:rsid w:val="003B60AC"/>
    <w:rsid w:val="003B7B53"/>
    <w:rsid w:val="003C6C6F"/>
    <w:rsid w:val="003D583B"/>
    <w:rsid w:val="003E07B6"/>
    <w:rsid w:val="003E5155"/>
    <w:rsid w:val="003F0DEA"/>
    <w:rsid w:val="003F1CDE"/>
    <w:rsid w:val="004011B7"/>
    <w:rsid w:val="00414135"/>
    <w:rsid w:val="004162FF"/>
    <w:rsid w:val="00455AE5"/>
    <w:rsid w:val="0048397D"/>
    <w:rsid w:val="00493C3E"/>
    <w:rsid w:val="004A6EDB"/>
    <w:rsid w:val="004C5C33"/>
    <w:rsid w:val="004D36E2"/>
    <w:rsid w:val="00502DDE"/>
    <w:rsid w:val="0050358A"/>
    <w:rsid w:val="005162C0"/>
    <w:rsid w:val="0054342D"/>
    <w:rsid w:val="005459D4"/>
    <w:rsid w:val="00554CE1"/>
    <w:rsid w:val="00555CFB"/>
    <w:rsid w:val="005560C3"/>
    <w:rsid w:val="00565982"/>
    <w:rsid w:val="005A1149"/>
    <w:rsid w:val="005A5062"/>
    <w:rsid w:val="005A5F97"/>
    <w:rsid w:val="005B1098"/>
    <w:rsid w:val="005B3E86"/>
    <w:rsid w:val="005C5128"/>
    <w:rsid w:val="005C7DFC"/>
    <w:rsid w:val="005D6518"/>
    <w:rsid w:val="005D79E5"/>
    <w:rsid w:val="005F34DA"/>
    <w:rsid w:val="006052E0"/>
    <w:rsid w:val="00606065"/>
    <w:rsid w:val="00644CA7"/>
    <w:rsid w:val="0064765F"/>
    <w:rsid w:val="00650A87"/>
    <w:rsid w:val="0065273F"/>
    <w:rsid w:val="006943A0"/>
    <w:rsid w:val="00695CF6"/>
    <w:rsid w:val="006A0BE6"/>
    <w:rsid w:val="006A34A1"/>
    <w:rsid w:val="006A5073"/>
    <w:rsid w:val="006B2CBF"/>
    <w:rsid w:val="006B2EF6"/>
    <w:rsid w:val="006B3338"/>
    <w:rsid w:val="006C5063"/>
    <w:rsid w:val="006D6705"/>
    <w:rsid w:val="006F1430"/>
    <w:rsid w:val="006F16F2"/>
    <w:rsid w:val="006F1C96"/>
    <w:rsid w:val="006F2BDE"/>
    <w:rsid w:val="006F35FA"/>
    <w:rsid w:val="006F3D8E"/>
    <w:rsid w:val="006F3E0E"/>
    <w:rsid w:val="006F49BA"/>
    <w:rsid w:val="006F5985"/>
    <w:rsid w:val="007077B0"/>
    <w:rsid w:val="007113E6"/>
    <w:rsid w:val="00713AA5"/>
    <w:rsid w:val="00724960"/>
    <w:rsid w:val="00747815"/>
    <w:rsid w:val="007548F9"/>
    <w:rsid w:val="007561DC"/>
    <w:rsid w:val="007672FD"/>
    <w:rsid w:val="007741F5"/>
    <w:rsid w:val="00775DDD"/>
    <w:rsid w:val="007765C8"/>
    <w:rsid w:val="00784A0E"/>
    <w:rsid w:val="007A0E86"/>
    <w:rsid w:val="007C27D3"/>
    <w:rsid w:val="007D0506"/>
    <w:rsid w:val="007D7896"/>
    <w:rsid w:val="007E2ECA"/>
    <w:rsid w:val="007E47A2"/>
    <w:rsid w:val="008005C2"/>
    <w:rsid w:val="00815E32"/>
    <w:rsid w:val="0082198C"/>
    <w:rsid w:val="00837D57"/>
    <w:rsid w:val="00844C35"/>
    <w:rsid w:val="008562BC"/>
    <w:rsid w:val="00861D35"/>
    <w:rsid w:val="00877CAD"/>
    <w:rsid w:val="0089084E"/>
    <w:rsid w:val="008A0E28"/>
    <w:rsid w:val="008A4547"/>
    <w:rsid w:val="008A4C10"/>
    <w:rsid w:val="008A567B"/>
    <w:rsid w:val="008B1709"/>
    <w:rsid w:val="008C3057"/>
    <w:rsid w:val="008D5167"/>
    <w:rsid w:val="008D5BB7"/>
    <w:rsid w:val="008D6A57"/>
    <w:rsid w:val="008E44A2"/>
    <w:rsid w:val="008F7875"/>
    <w:rsid w:val="009019FE"/>
    <w:rsid w:val="00906939"/>
    <w:rsid w:val="00912FA5"/>
    <w:rsid w:val="00931C1A"/>
    <w:rsid w:val="009525B0"/>
    <w:rsid w:val="00962AAF"/>
    <w:rsid w:val="009709BE"/>
    <w:rsid w:val="00983E78"/>
    <w:rsid w:val="00985F16"/>
    <w:rsid w:val="009B4550"/>
    <w:rsid w:val="009C3C7D"/>
    <w:rsid w:val="009C71E1"/>
    <w:rsid w:val="009D2CCA"/>
    <w:rsid w:val="009D4E98"/>
    <w:rsid w:val="009D54A6"/>
    <w:rsid w:val="009D55B0"/>
    <w:rsid w:val="009E388B"/>
    <w:rsid w:val="009F300E"/>
    <w:rsid w:val="00A037BD"/>
    <w:rsid w:val="00A2746A"/>
    <w:rsid w:val="00A27C6C"/>
    <w:rsid w:val="00A432E9"/>
    <w:rsid w:val="00A5131A"/>
    <w:rsid w:val="00A545E6"/>
    <w:rsid w:val="00A657E7"/>
    <w:rsid w:val="00A732F4"/>
    <w:rsid w:val="00A75EB6"/>
    <w:rsid w:val="00A812EB"/>
    <w:rsid w:val="00A835B6"/>
    <w:rsid w:val="00A96052"/>
    <w:rsid w:val="00A97BC3"/>
    <w:rsid w:val="00AA0702"/>
    <w:rsid w:val="00AA2159"/>
    <w:rsid w:val="00AA55E0"/>
    <w:rsid w:val="00AB661D"/>
    <w:rsid w:val="00AC3E1A"/>
    <w:rsid w:val="00AE5452"/>
    <w:rsid w:val="00AF41D5"/>
    <w:rsid w:val="00B05BE6"/>
    <w:rsid w:val="00B34253"/>
    <w:rsid w:val="00B47BCF"/>
    <w:rsid w:val="00B5025D"/>
    <w:rsid w:val="00B5061F"/>
    <w:rsid w:val="00B50712"/>
    <w:rsid w:val="00B51FF6"/>
    <w:rsid w:val="00B6649C"/>
    <w:rsid w:val="00B71438"/>
    <w:rsid w:val="00B72D07"/>
    <w:rsid w:val="00B765CF"/>
    <w:rsid w:val="00B86175"/>
    <w:rsid w:val="00B91AAE"/>
    <w:rsid w:val="00B9523C"/>
    <w:rsid w:val="00B956B3"/>
    <w:rsid w:val="00BA1F46"/>
    <w:rsid w:val="00BA274A"/>
    <w:rsid w:val="00BC3425"/>
    <w:rsid w:val="00BE179F"/>
    <w:rsid w:val="00BE71B9"/>
    <w:rsid w:val="00BF3689"/>
    <w:rsid w:val="00BF4638"/>
    <w:rsid w:val="00BF59EF"/>
    <w:rsid w:val="00BF5C51"/>
    <w:rsid w:val="00C25455"/>
    <w:rsid w:val="00C37BB4"/>
    <w:rsid w:val="00C37F86"/>
    <w:rsid w:val="00C576C4"/>
    <w:rsid w:val="00C606F7"/>
    <w:rsid w:val="00C633BA"/>
    <w:rsid w:val="00C87253"/>
    <w:rsid w:val="00C94749"/>
    <w:rsid w:val="00CA103D"/>
    <w:rsid w:val="00CA16AC"/>
    <w:rsid w:val="00CA304F"/>
    <w:rsid w:val="00CE2923"/>
    <w:rsid w:val="00CF76C0"/>
    <w:rsid w:val="00D0754B"/>
    <w:rsid w:val="00D31162"/>
    <w:rsid w:val="00D43F17"/>
    <w:rsid w:val="00D739BA"/>
    <w:rsid w:val="00D767D5"/>
    <w:rsid w:val="00D7777B"/>
    <w:rsid w:val="00D825AA"/>
    <w:rsid w:val="00D87F49"/>
    <w:rsid w:val="00D979D9"/>
    <w:rsid w:val="00DB2165"/>
    <w:rsid w:val="00DC3163"/>
    <w:rsid w:val="00DD2818"/>
    <w:rsid w:val="00DF3646"/>
    <w:rsid w:val="00E0070A"/>
    <w:rsid w:val="00E0211E"/>
    <w:rsid w:val="00E04CDB"/>
    <w:rsid w:val="00E25FBF"/>
    <w:rsid w:val="00E27506"/>
    <w:rsid w:val="00E31CF9"/>
    <w:rsid w:val="00E51715"/>
    <w:rsid w:val="00E53BD9"/>
    <w:rsid w:val="00E570B5"/>
    <w:rsid w:val="00E6182A"/>
    <w:rsid w:val="00E71A0D"/>
    <w:rsid w:val="00E801B3"/>
    <w:rsid w:val="00E96606"/>
    <w:rsid w:val="00EA3010"/>
    <w:rsid w:val="00EB3F96"/>
    <w:rsid w:val="00EB7AFC"/>
    <w:rsid w:val="00EC1367"/>
    <w:rsid w:val="00ED0610"/>
    <w:rsid w:val="00ED18EE"/>
    <w:rsid w:val="00EE6ACA"/>
    <w:rsid w:val="00EF73FB"/>
    <w:rsid w:val="00F03C8D"/>
    <w:rsid w:val="00F104C2"/>
    <w:rsid w:val="00F22C91"/>
    <w:rsid w:val="00F26F5B"/>
    <w:rsid w:val="00F27B65"/>
    <w:rsid w:val="00F361A4"/>
    <w:rsid w:val="00F50568"/>
    <w:rsid w:val="00F604C3"/>
    <w:rsid w:val="00F63BFF"/>
    <w:rsid w:val="00F66800"/>
    <w:rsid w:val="00F74336"/>
    <w:rsid w:val="00F81313"/>
    <w:rsid w:val="00F81944"/>
    <w:rsid w:val="00F82CF9"/>
    <w:rsid w:val="00FB120D"/>
    <w:rsid w:val="00FC0C20"/>
    <w:rsid w:val="00FD1468"/>
    <w:rsid w:val="00FD6DE1"/>
    <w:rsid w:val="00FE0DC0"/>
    <w:rsid w:val="00FE10CE"/>
    <w:rsid w:val="00FE4B95"/>
    <w:rsid w:val="00FF058B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5B76A"/>
  <w15:chartTrackingRefBased/>
  <w15:docId w15:val="{9B2CB576-6F91-413C-993F-6D85604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BF"/>
  </w:style>
  <w:style w:type="paragraph" w:styleId="Footer">
    <w:name w:val="footer"/>
    <w:basedOn w:val="Normal"/>
    <w:link w:val="Footer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BF"/>
  </w:style>
  <w:style w:type="paragraph" w:customStyle="1" w:styleId="Zkladnodstavec">
    <w:name w:val="[Základní odstavec]"/>
    <w:basedOn w:val="Normal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5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C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36"/>
    <w:rPr>
      <w:rFonts w:ascii="Segoe UI" w:hAnsi="Segoe UI" w:cs="Segoe UI"/>
      <w:sz w:val="18"/>
      <w:szCs w:val="18"/>
    </w:rPr>
  </w:style>
  <w:style w:type="paragraph" w:customStyle="1" w:styleId="ZKLADNSTYL">
    <w:name w:val="ZÁKLADNÍ STYL"/>
    <w:basedOn w:val="Normal"/>
    <w:link w:val="ZKLADNSTYLChar"/>
    <w:qFormat/>
    <w:rsid w:val="007561DC"/>
    <w:pPr>
      <w:spacing w:after="120" w:line="240" w:lineRule="auto"/>
      <w:jc w:val="both"/>
    </w:pPr>
    <w:rPr>
      <w:rFonts w:ascii="Arial" w:hAnsi="Arial"/>
      <w:color w:val="000000" w:themeColor="text1"/>
      <w:sz w:val="20"/>
      <w:szCs w:val="24"/>
    </w:rPr>
  </w:style>
  <w:style w:type="character" w:customStyle="1" w:styleId="ZKLADNSTYLChar">
    <w:name w:val="ZÁKLADNÍ STYL Char"/>
    <w:basedOn w:val="DefaultParagraphFont"/>
    <w:link w:val="ZKLADNSTYL"/>
    <w:rsid w:val="007561DC"/>
    <w:rPr>
      <w:rFonts w:ascii="Arial" w:hAnsi="Arial"/>
      <w:color w:val="000000" w:themeColor="text1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6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1DC"/>
    <w:pPr>
      <w:spacing w:after="200" w:line="240" w:lineRule="auto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1DC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10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680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DE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DD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akonyprolidi.cz/cs/2017-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edia@unr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r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4086a-0d53-47ac-910c-840a5b10c85d">
      <Terms xmlns="http://schemas.microsoft.com/office/infopath/2007/PartnerControls"/>
    </lcf76f155ced4ddcb4097134ff3c332f>
    <TaxCatchAll xmlns="90d52d28-043e-4442-b035-5463ef3585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7C4C24F3A3A4EABF87626FA75D9E4" ma:contentTypeVersion="16" ma:contentTypeDescription="Vytvoří nový dokument" ma:contentTypeScope="" ma:versionID="eca007958d983f4b2d86c81e6112a812">
  <xsd:schema xmlns:xsd="http://www.w3.org/2001/XMLSchema" xmlns:xs="http://www.w3.org/2001/XMLSchema" xmlns:p="http://schemas.microsoft.com/office/2006/metadata/properties" xmlns:ns2="89b4086a-0d53-47ac-910c-840a5b10c85d" xmlns:ns3="90d52d28-043e-4442-b035-5463ef3585bc" targetNamespace="http://schemas.microsoft.com/office/2006/metadata/properties" ma:root="true" ma:fieldsID="509a60b34e4e83bbfb50993df182b1da" ns2:_="" ns3:_="">
    <xsd:import namespace="89b4086a-0d53-47ac-910c-840a5b10c85d"/>
    <xsd:import namespace="90d52d28-043e-4442-b035-5463ef358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086a-0d53-47ac-910c-840a5b10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2d28-043e-4442-b035-5463ef35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41ae02-8940-4de2-bb02-cc7aa1fe79bd}" ma:internalName="TaxCatchAll" ma:showField="CatchAllData" ma:web="90d52d28-043e-4442-b035-5463ef35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  <ds:schemaRef ds:uri="89b4086a-0d53-47ac-910c-840a5b10c85d"/>
    <ds:schemaRef ds:uri="90d52d28-043e-4442-b035-5463ef3585bc"/>
  </ds:schemaRefs>
</ds:datastoreItem>
</file>

<file path=customXml/itemProps2.xml><?xml version="1.0" encoding="utf-8"?>
<ds:datastoreItem xmlns:ds="http://schemas.openxmlformats.org/officeDocument/2006/customXml" ds:itemID="{A49D2E55-3E30-4EA4-B8E3-020A2647C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F8865-B1CD-4623-8C8F-C33AE90E6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4086a-0d53-47ac-910c-840a5b10c85d"/>
    <ds:schemaRef ds:uri="90d52d28-043e-4442-b035-5463ef358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1403</Words>
  <Characters>8000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Petrásková</dc:creator>
  <cp:keywords/>
  <dc:description/>
  <cp:lastModifiedBy>Šíma Ondřej</cp:lastModifiedBy>
  <cp:revision>81</cp:revision>
  <cp:lastPrinted>2022-09-15T16:59:00Z</cp:lastPrinted>
  <dcterms:created xsi:type="dcterms:W3CDTF">2022-09-14T22:51:00Z</dcterms:created>
  <dcterms:modified xsi:type="dcterms:W3CDTF">2022-09-15T17:05:00Z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  <property fmtid="{D5CDD505-2E9C-101B-9397-08002B2CF9AE}" pid="3" name="MediaServiceImageTags">
    <vt:lpwstr/>
  </property>
</Properties>
</file>